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A30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4" w:hRule="atLeast"/>
        </w:trPr>
        <w:tc>
          <w:tcPr>
            <w:tcW w:w="5000" w:type="pct"/>
          </w:tcPr>
          <w:p w14:paraId="30FBB897">
            <w:pPr>
              <w:adjustRightInd w:val="0"/>
              <w:snapToGrid w:val="0"/>
              <w:spacing w:line="440" w:lineRule="exact"/>
              <w:ind w:firstLine="420"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一、工程概况</w:t>
            </w:r>
          </w:p>
          <w:p w14:paraId="0E02C4FF">
            <w:pPr>
              <w:adjustRightInd w:val="0"/>
              <w:snapToGrid w:val="0"/>
              <w:spacing w:line="440" w:lineRule="exact"/>
              <w:ind w:firstLine="420" w:firstLineChars="200"/>
              <w:rPr>
                <w:rFonts w:hint="eastAsia" w:ascii="宋体" w:hAnsi="宋体" w:cs="宋体"/>
                <w:color w:val="auto"/>
                <w:szCs w:val="21"/>
                <w:highlight w:val="none"/>
                <w:lang w:val="en-US" w:eastAsia="zh-CN"/>
              </w:rPr>
            </w:pPr>
            <w:r>
              <w:rPr>
                <w:rFonts w:hint="eastAsia" w:ascii="宋体" w:hAnsi="宋体" w:eastAsia="宋体" w:cs="宋体"/>
                <w:color w:val="auto"/>
                <w:szCs w:val="21"/>
                <w:highlight w:val="none"/>
              </w:rPr>
              <w:t>1、工程名称</w:t>
            </w:r>
            <w:r>
              <w:rPr>
                <w:rFonts w:hint="eastAsia" w:ascii="宋体" w:hAnsi="宋体" w:eastAsia="宋体" w:cs="宋体"/>
                <w:color w:val="auto"/>
                <w:szCs w:val="21"/>
                <w:highlight w:val="none"/>
                <w:lang w:eastAsia="zh-CN"/>
              </w:rPr>
              <w:t>：</w:t>
            </w:r>
            <w:r>
              <w:rPr>
                <w:rFonts w:ascii="宋体" w:hAnsi="宋体" w:eastAsia="宋体" w:cs="Times New Roman"/>
                <w:color w:val="auto"/>
                <w:kern w:val="2"/>
                <w:sz w:val="21"/>
                <w:szCs w:val="21"/>
                <w:lang w:bidi="ar-SA"/>
              </w:rPr>
              <w:t>舟山市普陀2#海上风电场项目陆上集控中心四通一平项目</w:t>
            </w:r>
          </w:p>
          <w:p w14:paraId="4763F9DC">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default" w:ascii="宋体" w:hAnsi="宋体" w:eastAsia="宋体" w:cs="Times New Roman"/>
                <w:color w:val="auto"/>
                <w:spacing w:val="0"/>
                <w:sz w:val="21"/>
                <w:szCs w:val="21"/>
              </w:rPr>
            </w:pPr>
            <w:r>
              <w:rPr>
                <w:rFonts w:hint="eastAsia" w:ascii="宋体" w:hAnsi="宋体" w:eastAsia="宋体" w:cs="宋体"/>
                <w:color w:val="auto"/>
                <w:szCs w:val="21"/>
                <w:highlight w:val="none"/>
              </w:rPr>
              <w:t>2、工程地点：</w:t>
            </w:r>
            <w:r>
              <w:rPr>
                <w:rFonts w:hint="default" w:ascii="宋体" w:hAnsi="宋体" w:eastAsia="宋体" w:cs="Times New Roman"/>
                <w:color w:val="auto"/>
                <w:spacing w:val="0"/>
                <w:sz w:val="21"/>
                <w:szCs w:val="21"/>
                <w:lang w:eastAsia="zh-CN"/>
              </w:rPr>
              <w:t>舟山市普陀区六横镇苍洞村</w:t>
            </w:r>
          </w:p>
          <w:p w14:paraId="15336370">
            <w:pPr>
              <w:adjustRightInd w:val="0"/>
              <w:snapToGrid w:val="0"/>
              <w:spacing w:line="440" w:lineRule="exact"/>
              <w:ind w:firstLine="420" w:firstLineChars="200"/>
              <w:rPr>
                <w:rFonts w:hint="eastAsia" w:ascii="宋体" w:hAnsi="宋体" w:cs="宋体"/>
                <w:snapToGrid/>
                <w:color w:val="auto"/>
                <w:spacing w:val="0"/>
                <w:w w:val="100"/>
                <w:kern w:val="2"/>
                <w:sz w:val="21"/>
                <w:szCs w:val="21"/>
                <w:highlight w:val="none"/>
                <w:lang w:eastAsia="zh-CN"/>
              </w:rPr>
            </w:pPr>
            <w:r>
              <w:rPr>
                <w:rFonts w:hint="eastAsia" w:ascii="宋体" w:hAnsi="宋体" w:eastAsia="宋体" w:cs="宋体"/>
                <w:color w:val="auto"/>
                <w:szCs w:val="21"/>
                <w:highlight w:val="none"/>
              </w:rPr>
              <w:t>3、工程规模：</w:t>
            </w:r>
            <w:r>
              <w:rPr>
                <w:rFonts w:hint="default" w:ascii="宋体" w:hAnsi="宋体" w:eastAsia="宋体" w:cs="Times New Roman"/>
                <w:color w:val="auto"/>
                <w:spacing w:val="0"/>
                <w:sz w:val="21"/>
                <w:szCs w:val="21"/>
                <w:lang w:eastAsia="zh-CN"/>
              </w:rPr>
              <w:t>本工程为舟山市普陀2#海上风电场项目四通一平项目，包括：现有建构筑物、设施的拆除和迁建，场地平整，施工道路，施工供电，施工供水，等内容。</w:t>
            </w:r>
          </w:p>
          <w:p w14:paraId="59849C37">
            <w:pPr>
              <w:adjustRightInd w:val="0"/>
              <w:snapToGrid w:val="0"/>
              <w:spacing w:line="440" w:lineRule="exact"/>
              <w:ind w:firstLine="420" w:firstLineChars="200"/>
              <w:rPr>
                <w:rFonts w:hint="eastAsia" w:ascii="宋体" w:hAnsi="宋体" w:eastAsia="宋体" w:cs="宋体"/>
                <w:color w:val="auto"/>
                <w:szCs w:val="21"/>
                <w:highlight w:val="none"/>
              </w:rPr>
            </w:pPr>
          </w:p>
          <w:p w14:paraId="7ADF864D">
            <w:pPr>
              <w:autoSpaceDE w:val="0"/>
              <w:autoSpaceDN w:val="0"/>
              <w:adjustRightInd w:val="0"/>
              <w:snapToGrid w:val="0"/>
              <w:spacing w:line="440" w:lineRule="exact"/>
              <w:ind w:right="0" w:rightChars="0" w:firstLine="420" w:firstLineChars="200"/>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二、编制范围</w:t>
            </w:r>
          </w:p>
          <w:p w14:paraId="158978A3">
            <w:pPr>
              <w:pStyle w:val="33"/>
              <w:snapToGrid w:val="0"/>
              <w:spacing w:line="440" w:lineRule="exact"/>
              <w:ind w:firstLine="420" w:firstLineChars="200"/>
              <w:rPr>
                <w:rFonts w:hint="eastAsia" w:ascii="宋体" w:hAnsi="宋体"/>
                <w:b/>
                <w:color w:val="auto"/>
                <w:u w:val="single"/>
              </w:rPr>
            </w:pPr>
            <w:r>
              <w:rPr>
                <w:rFonts w:hint="eastAsia" w:ascii="宋体" w:hAnsi="宋体" w:eastAsia="宋体" w:cs="宋体"/>
                <w:color w:val="auto"/>
                <w:szCs w:val="21"/>
                <w:highlight w:val="none"/>
              </w:rPr>
              <w:t>本次编制范围主要包括：</w:t>
            </w:r>
            <w:r>
              <w:rPr>
                <w:rFonts w:hint="default" w:ascii="宋体" w:hAnsi="宋体" w:eastAsia="宋体" w:cs="Times New Roman"/>
                <w:color w:val="auto"/>
                <w:spacing w:val="0"/>
                <w:sz w:val="21"/>
                <w:szCs w:val="21"/>
                <w:lang w:eastAsia="zh-CN"/>
              </w:rPr>
              <w:t>现有建构筑物、设施的拆除和迁建，场地平整，施工道路，施工供电，施工供水，等内容</w:t>
            </w:r>
            <w:r>
              <w:rPr>
                <w:rFonts w:hint="default" w:ascii="宋体" w:hAnsi="宋体" w:cs="Times New Roman"/>
                <w:color w:val="auto"/>
                <w:kern w:val="2"/>
                <w:szCs w:val="21"/>
                <w:highlight w:val="none"/>
                <w:u w:val="none"/>
                <w:lang w:eastAsia="zh-CN"/>
              </w:rPr>
              <w:t>，</w:t>
            </w:r>
            <w:r>
              <w:rPr>
                <w:rFonts w:hint="default" w:ascii="宋体" w:hAnsi="宋体" w:eastAsia="宋体" w:cs="Times New Roman"/>
                <w:color w:val="auto"/>
                <w:kern w:val="2"/>
                <w:szCs w:val="21"/>
                <w:highlight w:val="none"/>
                <w:u w:val="none"/>
              </w:rPr>
              <w:t>具体内容详见招标文件、工程量清单及施工图纸</w:t>
            </w:r>
            <w:r>
              <w:rPr>
                <w:rFonts w:hint="default" w:ascii="宋体" w:hAnsi="宋体" w:cs="Times New Roman"/>
                <w:color w:val="auto"/>
                <w:highlight w:val="none"/>
                <w:u w:val="none"/>
              </w:rPr>
              <w:t>。</w:t>
            </w:r>
          </w:p>
          <w:p w14:paraId="63502D2F">
            <w:pPr>
              <w:pStyle w:val="33"/>
              <w:adjustRightInd w:val="0"/>
              <w:snapToGrid w:val="0"/>
              <w:spacing w:line="440" w:lineRule="exact"/>
              <w:ind w:firstLine="420" w:firstLineChars="200"/>
              <w:rPr>
                <w:rFonts w:hint="eastAsia" w:ascii="宋体" w:hAnsi="宋体" w:eastAsia="宋体" w:cs="宋体"/>
                <w:color w:val="auto"/>
                <w:szCs w:val="21"/>
                <w:highlight w:val="none"/>
              </w:rPr>
            </w:pPr>
          </w:p>
          <w:p w14:paraId="509395D8">
            <w:pPr>
              <w:autoSpaceDE w:val="0"/>
              <w:autoSpaceDN w:val="0"/>
              <w:adjustRightInd w:val="0"/>
              <w:snapToGrid w:val="0"/>
              <w:spacing w:line="440" w:lineRule="exact"/>
              <w:ind w:right="0" w:rightChars="0" w:firstLine="420"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三、编制依据</w:t>
            </w:r>
          </w:p>
          <w:p w14:paraId="33C8A347">
            <w:pPr>
              <w:adjustRightInd w:val="0"/>
              <w:snapToGrid w:val="0"/>
              <w:spacing w:line="44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Times New Roman"/>
                <w:color w:val="auto"/>
                <w:szCs w:val="21"/>
              </w:rPr>
              <w:t>根据</w:t>
            </w:r>
            <w:r>
              <w:rPr>
                <w:rFonts w:hint="eastAsia" w:ascii="宋体" w:hAnsi="宋体" w:eastAsia="宋体" w:cs="Times New Roman"/>
                <w:color w:val="auto"/>
                <w:sz w:val="21"/>
                <w:szCs w:val="21"/>
              </w:rPr>
              <w:t>中国能源建设集团浙江省电力设计院有限公司</w:t>
            </w:r>
            <w:r>
              <w:rPr>
                <w:rFonts w:hint="eastAsia" w:ascii="宋体" w:hAnsi="宋体" w:eastAsia="宋体" w:cs="Times New Roman"/>
                <w:color w:val="auto"/>
                <w:szCs w:val="21"/>
              </w:rPr>
              <w:t>的施工图纸</w:t>
            </w:r>
            <w:r>
              <w:rPr>
                <w:rFonts w:hint="eastAsia" w:ascii="宋体" w:hAnsi="宋体" w:eastAsia="宋体" w:cs="Times New Roman"/>
                <w:color w:val="auto"/>
                <w:szCs w:val="21"/>
                <w:lang w:eastAsia="zh-CN"/>
              </w:rPr>
              <w:t>。</w:t>
            </w:r>
          </w:p>
          <w:p w14:paraId="43F8F8EB">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2、工程招标文件</w:t>
            </w:r>
            <w:r>
              <w:rPr>
                <w:rFonts w:hint="eastAsia" w:ascii="宋体" w:hAnsi="宋体" w:eastAsia="宋体" w:cs="宋体"/>
                <w:color w:val="auto"/>
                <w:szCs w:val="21"/>
                <w:highlight w:val="none"/>
                <w:lang w:eastAsia="zh-CN"/>
              </w:rPr>
              <w:t>。</w:t>
            </w:r>
          </w:p>
          <w:p w14:paraId="6ED5B840">
            <w:pPr>
              <w:spacing w:line="44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、《岩土工程勘察报告》</w:t>
            </w:r>
            <w:r>
              <w:rPr>
                <w:rFonts w:hint="eastAsia" w:ascii="宋体" w:hAnsi="宋体" w:eastAsia="宋体" w:cs="宋体"/>
                <w:color w:val="auto"/>
                <w:szCs w:val="21"/>
                <w:highlight w:val="none"/>
                <w:lang w:eastAsia="zh-CN"/>
              </w:rPr>
              <w:t>。</w:t>
            </w:r>
          </w:p>
          <w:p w14:paraId="3D49111A">
            <w:pPr>
              <w:spacing w:line="44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、《建设工程工程量清单计价规范》（GB50500-2013）</w:t>
            </w:r>
            <w:r>
              <w:rPr>
                <w:rFonts w:hint="eastAsia" w:ascii="宋体" w:hAnsi="宋体" w:eastAsia="宋体" w:cs="宋体"/>
                <w:color w:val="auto"/>
                <w:szCs w:val="21"/>
                <w:highlight w:val="none"/>
                <w:lang w:eastAsia="zh-CN"/>
              </w:rPr>
              <w:t>。</w:t>
            </w:r>
          </w:p>
          <w:p w14:paraId="144DB35F">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Times New Roman"/>
                <w:szCs w:val="21"/>
              </w:rPr>
              <w:t>《房屋建筑与装饰工程工程量计算规范》(GB50854-2013)、《通用安装工程工程量计算规范》(GB50856-2013)</w:t>
            </w:r>
            <w:r>
              <w:rPr>
                <w:rFonts w:hint="eastAsia" w:ascii="宋体" w:hAnsi="宋体" w:eastAsia="宋体" w:cs="Times New Roman"/>
                <w:szCs w:val="21"/>
                <w:lang w:eastAsia="zh-CN"/>
              </w:rPr>
              <w:t>、</w:t>
            </w:r>
            <w:r>
              <w:rPr>
                <w:rFonts w:hint="eastAsia" w:ascii="宋体" w:hAnsi="宋体" w:eastAsia="宋体" w:cs="Times New Roman"/>
                <w:sz w:val="21"/>
                <w:szCs w:val="21"/>
              </w:rPr>
              <w:t>《市政工程工程量计算规范》（GB50857-2013）</w:t>
            </w:r>
            <w:r>
              <w:rPr>
                <w:rFonts w:hint="eastAsia" w:ascii="宋体" w:hAnsi="宋体" w:eastAsia="宋体" w:cs="Times New Roman"/>
                <w:szCs w:val="21"/>
              </w:rPr>
              <w:t>及相关补充规定</w:t>
            </w:r>
            <w:r>
              <w:rPr>
                <w:rFonts w:hint="eastAsia" w:ascii="宋体" w:hAnsi="宋体" w:eastAsia="宋体" w:cs="宋体"/>
                <w:color w:val="auto"/>
                <w:szCs w:val="21"/>
                <w:highlight w:val="none"/>
                <w:lang w:eastAsia="zh-CN"/>
              </w:rPr>
              <w:t>。</w:t>
            </w:r>
          </w:p>
          <w:p w14:paraId="75CEECF7">
            <w:pPr>
              <w:tabs>
                <w:tab w:val="left" w:pos="540"/>
              </w:tabs>
              <w:autoSpaceDE w:val="0"/>
              <w:autoSpaceDN w:val="0"/>
              <w:adjustRightInd w:val="0"/>
              <w:snapToGrid w:val="0"/>
              <w:spacing w:line="440" w:lineRule="exact"/>
              <w:ind w:left="0" w:leftChars="0" w:right="0" w:firstLine="420" w:firstLineChars="200"/>
              <w:jc w:val="left"/>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其他有关规范资料。</w:t>
            </w:r>
          </w:p>
          <w:p w14:paraId="0BDDBCA5">
            <w:pPr>
              <w:tabs>
                <w:tab w:val="left" w:pos="540"/>
              </w:tabs>
              <w:autoSpaceDE w:val="0"/>
              <w:autoSpaceDN w:val="0"/>
              <w:adjustRightInd w:val="0"/>
              <w:snapToGrid w:val="0"/>
              <w:spacing w:line="440" w:lineRule="exact"/>
              <w:ind w:left="0" w:leftChars="0" w:right="0" w:firstLine="420" w:firstLineChars="200"/>
              <w:jc w:val="left"/>
              <w:rPr>
                <w:rFonts w:hint="eastAsia" w:ascii="宋体" w:hAnsi="宋体" w:eastAsia="宋体" w:cs="宋体"/>
                <w:color w:val="auto"/>
                <w:kern w:val="2"/>
                <w:szCs w:val="21"/>
                <w:highlight w:val="none"/>
              </w:rPr>
            </w:pPr>
          </w:p>
          <w:p w14:paraId="23F52173">
            <w:pPr>
              <w:adjustRightInd w:val="0"/>
              <w:snapToGrid w:val="0"/>
              <w:spacing w:line="440" w:lineRule="exact"/>
              <w:ind w:firstLine="420"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四、工程质量、工期、材料、施工等要求：</w:t>
            </w:r>
          </w:p>
          <w:p w14:paraId="61D90DE4">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1、工程质量：根据招标文件要求</w:t>
            </w:r>
            <w:r>
              <w:rPr>
                <w:rFonts w:hint="eastAsia" w:ascii="宋体" w:hAnsi="宋体" w:eastAsia="宋体" w:cs="宋体"/>
                <w:color w:val="auto"/>
                <w:szCs w:val="21"/>
                <w:highlight w:val="none"/>
                <w:lang w:eastAsia="zh-CN"/>
              </w:rPr>
              <w:t>。</w:t>
            </w:r>
          </w:p>
          <w:p w14:paraId="119B5845">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2、工期：详见招标文件要求</w:t>
            </w:r>
            <w:r>
              <w:rPr>
                <w:rFonts w:hint="eastAsia" w:ascii="宋体" w:hAnsi="宋体" w:eastAsia="宋体" w:cs="宋体"/>
                <w:color w:val="auto"/>
                <w:szCs w:val="21"/>
                <w:highlight w:val="none"/>
                <w:lang w:eastAsia="zh-CN"/>
              </w:rPr>
              <w:t>。</w:t>
            </w:r>
          </w:p>
          <w:p w14:paraId="760ADE08">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3、材料品牌要求</w:t>
            </w:r>
            <w:r>
              <w:rPr>
                <w:rFonts w:hint="eastAsia" w:ascii="宋体" w:hAnsi="宋体" w:eastAsia="宋体" w:cs="宋体"/>
                <w:color w:val="auto"/>
                <w:szCs w:val="21"/>
                <w:highlight w:val="none"/>
                <w:lang w:eastAsia="zh-CN"/>
              </w:rPr>
              <w:t>。</w:t>
            </w:r>
          </w:p>
          <w:p w14:paraId="10CA4F70">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4、施工要求详见施工图及招标文件技术规范中具体要求。</w:t>
            </w:r>
          </w:p>
          <w:p w14:paraId="7AD9DB60">
            <w:pPr>
              <w:adjustRightInd w:val="0"/>
              <w:snapToGrid w:val="0"/>
              <w:spacing w:line="440" w:lineRule="exact"/>
              <w:ind w:firstLine="420" w:firstLineChars="200"/>
              <w:rPr>
                <w:rFonts w:hint="eastAsia" w:ascii="宋体" w:hAnsi="宋体" w:eastAsia="宋体" w:cs="宋体"/>
                <w:color w:val="auto"/>
                <w:szCs w:val="21"/>
                <w:highlight w:val="none"/>
              </w:rPr>
            </w:pPr>
          </w:p>
          <w:p w14:paraId="54AE73C4">
            <w:pPr>
              <w:tabs>
                <w:tab w:val="left" w:pos="540"/>
              </w:tabs>
              <w:adjustRightInd w:val="0"/>
              <w:snapToGrid w:val="0"/>
              <w:spacing w:line="440" w:lineRule="exact"/>
              <w:ind w:firstLine="420" w:firstLineChars="200"/>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lang w:val="zh-CN"/>
              </w:rPr>
              <w:t>五、</w:t>
            </w:r>
            <w:r>
              <w:rPr>
                <w:rFonts w:hint="eastAsia" w:ascii="宋体" w:hAnsi="宋体" w:eastAsia="宋体" w:cs="宋体"/>
                <w:b/>
                <w:bCs/>
                <w:color w:val="auto"/>
                <w:szCs w:val="21"/>
                <w:highlight w:val="none"/>
              </w:rPr>
              <w:t>费率要求</w:t>
            </w:r>
          </w:p>
          <w:p w14:paraId="52ACD73B">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本工程采用“一般计税方法”：</w:t>
            </w:r>
          </w:p>
          <w:p w14:paraId="3D9CFC1F">
            <w:pPr>
              <w:tabs>
                <w:tab w:val="left" w:pos="540"/>
              </w:tabs>
              <w:adjustRightInd w:val="0"/>
              <w:snapToGrid w:val="0"/>
              <w:spacing w:line="440" w:lineRule="exact"/>
              <w:ind w:firstLine="420" w:firstLineChars="200"/>
              <w:rPr>
                <w:rFonts w:hint="eastAsia" w:ascii="宋体" w:hAnsi="宋体" w:eastAsia="宋体" w:cs="宋体"/>
                <w:bCs/>
                <w:color w:val="auto"/>
                <w:szCs w:val="21"/>
                <w:highlight w:val="none"/>
              </w:rPr>
            </w:pPr>
            <w:r>
              <w:rPr>
                <w:rFonts w:hint="eastAsia" w:ascii="宋体" w:hAnsi="宋体" w:cs="宋体"/>
                <w:b/>
                <w:bCs/>
                <w:color w:val="auto"/>
                <w:szCs w:val="21"/>
                <w:highlight w:val="none"/>
              </w:rPr>
              <w:t>1、</w:t>
            </w:r>
            <w:r>
              <w:rPr>
                <w:rFonts w:hint="eastAsia" w:ascii="宋体" w:hAnsi="宋体" w:cs="宋体"/>
                <w:b/>
                <w:bCs/>
                <w:color w:val="auto"/>
                <w:szCs w:val="21"/>
                <w:highlight w:val="none"/>
                <w:lang w:val="zh-CN"/>
              </w:rPr>
              <w:t>企业管理费</w:t>
            </w:r>
            <w:r>
              <w:rPr>
                <w:rFonts w:hint="eastAsia" w:ascii="宋体" w:hAnsi="宋体" w:cs="宋体"/>
                <w:b/>
                <w:bCs/>
                <w:color w:val="auto"/>
                <w:szCs w:val="21"/>
                <w:highlight w:val="none"/>
                <w:lang w:val="en-US" w:eastAsia="zh-CN"/>
              </w:rPr>
              <w:t>含安责险</w:t>
            </w:r>
            <w:r>
              <w:rPr>
                <w:rFonts w:hint="eastAsia" w:ascii="宋体" w:hAnsi="宋体" w:cs="宋体"/>
                <w:b/>
                <w:bCs/>
                <w:color w:val="auto"/>
                <w:szCs w:val="21"/>
                <w:highlight w:val="none"/>
                <w:lang w:val="zh-CN"/>
              </w:rPr>
              <w:t>：</w:t>
            </w:r>
            <w:r>
              <w:rPr>
                <w:rFonts w:hint="eastAsia" w:ascii="宋体" w:hAnsi="宋体" w:cs="宋体"/>
                <w:color w:val="auto"/>
                <w:szCs w:val="21"/>
                <w:highlight w:val="none"/>
                <w:lang w:val="zh-CN"/>
              </w:rPr>
              <w:t>取费基数为人工费+机械费，</w:t>
            </w:r>
            <w:r>
              <w:rPr>
                <w:rFonts w:hint="eastAsia" w:ascii="宋体" w:hAnsi="宋体" w:cs="宋体"/>
                <w:color w:val="auto"/>
                <w:szCs w:val="21"/>
                <w:highlight w:val="none"/>
              </w:rPr>
              <w:t>取费</w:t>
            </w:r>
            <w:r>
              <w:rPr>
                <w:rFonts w:hint="eastAsia" w:ascii="宋体" w:hAnsi="宋体" w:cs="宋体"/>
                <w:color w:val="auto"/>
                <w:szCs w:val="21"/>
                <w:highlight w:val="none"/>
                <w:lang w:val="zh-CN"/>
              </w:rPr>
              <w:t>费率</w:t>
            </w:r>
            <w:r>
              <w:rPr>
                <w:rFonts w:hint="eastAsia" w:ascii="宋体" w:hAnsi="宋体" w:eastAsia="宋体" w:cs="宋体"/>
                <w:color w:val="auto"/>
                <w:szCs w:val="21"/>
                <w:highlight w:val="none"/>
              </w:rPr>
              <w:t>不得低于省建设行政主管部门颁发的施工</w:t>
            </w:r>
            <w:r>
              <w:rPr>
                <w:rFonts w:hint="eastAsia" w:ascii="宋体" w:hAnsi="宋体" w:eastAsia="宋体" w:cs="宋体"/>
                <w:color w:val="auto"/>
                <w:szCs w:val="21"/>
                <w:highlight w:val="none"/>
                <w:lang w:val="en-US" w:eastAsia="zh-CN"/>
              </w:rPr>
              <w:t>取费费率</w:t>
            </w:r>
            <w:r>
              <w:rPr>
                <w:rFonts w:hint="eastAsia" w:ascii="宋体" w:hAnsi="宋体" w:eastAsia="宋体" w:cs="宋体"/>
                <w:color w:val="auto"/>
                <w:szCs w:val="21"/>
                <w:highlight w:val="none"/>
              </w:rPr>
              <w:t>对应专业工程弹性费率下限</w:t>
            </w:r>
            <w:r>
              <w:rPr>
                <w:rFonts w:hint="eastAsia" w:ascii="宋体" w:hAnsi="宋体" w:eastAsia="宋体" w:cs="宋体"/>
                <w:bCs/>
                <w:color w:val="auto"/>
                <w:szCs w:val="21"/>
                <w:highlight w:val="none"/>
              </w:rPr>
              <w:t>20%。</w:t>
            </w:r>
          </w:p>
          <w:p w14:paraId="66D2D08F">
            <w:pPr>
              <w:tabs>
                <w:tab w:val="left" w:pos="540"/>
              </w:tabs>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最低费率：</w:t>
            </w:r>
          </w:p>
          <w:p w14:paraId="594A5280">
            <w:pPr>
              <w:tabs>
                <w:tab w:val="left" w:pos="540"/>
              </w:tabs>
              <w:adjustRightInd w:val="0"/>
              <w:snapToGrid w:val="0"/>
              <w:spacing w:line="440" w:lineRule="exact"/>
              <w:ind w:firstLine="420"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房屋建筑与装饰工程:</w:t>
            </w:r>
          </w:p>
          <w:p w14:paraId="6CBF8426">
            <w:pPr>
              <w:tabs>
                <w:tab w:val="left" w:pos="540"/>
              </w:tabs>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szCs w:val="21"/>
                <w:lang w:val="en-US" w:eastAsia="zh-CN"/>
              </w:rPr>
              <w:t>专业土石方</w:t>
            </w:r>
            <w:r>
              <w:rPr>
                <w:rFonts w:hint="eastAsia" w:ascii="宋体" w:hAnsi="宋体"/>
                <w:szCs w:val="21"/>
                <w:lang w:val="zh-CN"/>
              </w:rPr>
              <w:t>工程</w:t>
            </w:r>
            <w:r>
              <w:rPr>
                <w:rFonts w:hint="eastAsia" w:ascii="宋体" w:hAnsi="宋体" w:cs="宋体"/>
                <w:color w:val="auto"/>
                <w:szCs w:val="21"/>
                <w:highlight w:val="none"/>
                <w:lang w:val="en-US" w:eastAsia="zh-CN"/>
              </w:rPr>
              <w:t>4.15</w:t>
            </w:r>
            <w:r>
              <w:rPr>
                <w:rFonts w:hint="eastAsia" w:ascii="宋体" w:hAnsi="宋体" w:cs="宋体"/>
                <w:color w:val="auto"/>
                <w:szCs w:val="21"/>
                <w:highlight w:val="none"/>
              </w:rPr>
              <w:t>%*20%=</w:t>
            </w:r>
            <w:r>
              <w:rPr>
                <w:rFonts w:hint="eastAsia" w:ascii="宋体" w:hAnsi="宋体" w:cs="宋体"/>
                <w:color w:val="auto"/>
                <w:szCs w:val="21"/>
                <w:highlight w:val="none"/>
                <w:lang w:val="en-US" w:eastAsia="zh-CN"/>
              </w:rPr>
              <w:t>0.83</w:t>
            </w:r>
            <w:r>
              <w:rPr>
                <w:rFonts w:hint="eastAsia" w:ascii="宋体" w:hAnsi="宋体" w:cs="宋体"/>
                <w:color w:val="auto"/>
                <w:szCs w:val="21"/>
                <w:highlight w:val="none"/>
              </w:rPr>
              <w:t>%。</w:t>
            </w:r>
          </w:p>
          <w:p w14:paraId="000DF572">
            <w:pPr>
              <w:tabs>
                <w:tab w:val="left" w:pos="540"/>
              </w:tabs>
              <w:adjustRightInd w:val="0"/>
              <w:snapToGrid w:val="0"/>
              <w:spacing w:line="440" w:lineRule="exact"/>
              <w:ind w:firstLine="420"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通用安装工程：</w:t>
            </w:r>
          </w:p>
          <w:p w14:paraId="3E9C6773">
            <w:pPr>
              <w:tabs>
                <w:tab w:val="left" w:pos="540"/>
              </w:tabs>
              <w:adjustRightInd w:val="0"/>
              <w:snapToGrid w:val="0"/>
              <w:spacing w:line="440" w:lineRule="exact"/>
              <w:ind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lang w:val="zh-CN"/>
              </w:rPr>
              <w:t>水、电、暖通、消防、智能、自控及通信安装工程</w:t>
            </w:r>
            <w:r>
              <w:rPr>
                <w:rFonts w:hint="eastAsia" w:ascii="宋体" w:hAnsi="宋体" w:cs="宋体"/>
                <w:color w:val="auto"/>
                <w:szCs w:val="21"/>
                <w:highlight w:val="none"/>
                <w:lang w:val="en-US" w:eastAsia="zh-CN"/>
              </w:rPr>
              <w:t>16.29</w:t>
            </w:r>
            <w:r>
              <w:rPr>
                <w:rFonts w:hint="eastAsia" w:ascii="宋体" w:hAnsi="宋体" w:cs="宋体"/>
                <w:color w:val="auto"/>
                <w:szCs w:val="21"/>
                <w:highlight w:val="none"/>
              </w:rPr>
              <w:t>%</w:t>
            </w:r>
            <w:r>
              <w:rPr>
                <w:rFonts w:hint="eastAsia" w:ascii="宋体" w:hAnsi="宋体" w:cs="宋体"/>
                <w:color w:val="auto"/>
                <w:szCs w:val="21"/>
                <w:highlight w:val="none"/>
                <w:lang w:val="zh-CN"/>
              </w:rPr>
              <w:t>*20%=</w:t>
            </w:r>
            <w:r>
              <w:rPr>
                <w:rFonts w:hint="eastAsia" w:ascii="宋体" w:hAnsi="宋体" w:cs="宋体"/>
                <w:color w:val="auto"/>
                <w:szCs w:val="21"/>
                <w:highlight w:val="none"/>
                <w:lang w:val="en-US" w:eastAsia="zh-CN"/>
              </w:rPr>
              <w:t>3.258</w:t>
            </w:r>
            <w:r>
              <w:rPr>
                <w:rFonts w:hint="eastAsia" w:ascii="宋体" w:hAnsi="宋体" w:cs="宋体"/>
                <w:color w:val="auto"/>
                <w:szCs w:val="21"/>
                <w:highlight w:val="none"/>
              </w:rPr>
              <w:t>%</w:t>
            </w:r>
            <w:r>
              <w:rPr>
                <w:rFonts w:hint="eastAsia" w:ascii="宋体" w:hAnsi="宋体" w:cs="宋体"/>
                <w:color w:val="auto"/>
                <w:szCs w:val="21"/>
                <w:highlight w:val="none"/>
                <w:lang w:val="zh-CN"/>
              </w:rPr>
              <w:t>。</w:t>
            </w:r>
          </w:p>
          <w:p w14:paraId="0927EBA6">
            <w:pPr>
              <w:tabs>
                <w:tab w:val="left" w:pos="540"/>
              </w:tabs>
              <w:adjustRightInd w:val="0"/>
              <w:snapToGrid w:val="0"/>
              <w:spacing w:line="440" w:lineRule="exact"/>
              <w:ind w:firstLine="420" w:firstLineChars="200"/>
              <w:rPr>
                <w:rFonts w:hint="eastAsia" w:ascii="宋体" w:hAnsi="宋体" w:eastAsia="宋体" w:cs="宋体"/>
                <w:bCs/>
                <w:color w:val="auto"/>
                <w:szCs w:val="21"/>
                <w:highlight w:val="none"/>
              </w:rPr>
            </w:pPr>
            <w:r>
              <w:rPr>
                <w:rFonts w:hint="eastAsia" w:ascii="宋体" w:hAnsi="宋体" w:cs="宋体"/>
                <w:b/>
                <w:bCs/>
                <w:color w:val="auto"/>
                <w:szCs w:val="21"/>
                <w:highlight w:val="none"/>
                <w:lang w:val="zh-CN"/>
              </w:rPr>
              <w:t>2、安全文明施工基本费：</w:t>
            </w:r>
            <w:r>
              <w:rPr>
                <w:rFonts w:hint="eastAsia" w:ascii="宋体" w:hAnsi="宋体" w:cs="宋体"/>
                <w:color w:val="auto"/>
                <w:szCs w:val="21"/>
                <w:highlight w:val="none"/>
                <w:lang w:val="zh-CN"/>
              </w:rPr>
              <w:t>取费基数为人工费+机械费，取费费率</w:t>
            </w:r>
            <w:r>
              <w:rPr>
                <w:rFonts w:hint="eastAsia" w:ascii="宋体" w:hAnsi="宋体" w:eastAsia="宋体" w:cs="宋体"/>
                <w:color w:val="auto"/>
                <w:szCs w:val="21"/>
                <w:highlight w:val="none"/>
              </w:rPr>
              <w:t>不得低于省建设行政主管部门颁发的施工费用定额对应专业工程弹性费率下限</w:t>
            </w:r>
            <w:r>
              <w:rPr>
                <w:rFonts w:hint="eastAsia" w:ascii="宋体" w:hAnsi="宋体" w:eastAsia="宋体" w:cs="宋体"/>
                <w:bCs/>
                <w:color w:val="auto"/>
                <w:szCs w:val="21"/>
                <w:highlight w:val="none"/>
                <w:lang w:eastAsia="zh-CN"/>
              </w:rPr>
              <w:t>报价</w:t>
            </w:r>
            <w:r>
              <w:rPr>
                <w:rFonts w:hint="eastAsia" w:ascii="宋体" w:hAnsi="宋体" w:eastAsia="宋体" w:cs="宋体"/>
                <w:bCs/>
                <w:color w:val="auto"/>
                <w:szCs w:val="21"/>
                <w:highlight w:val="none"/>
              </w:rPr>
              <w:t>。</w:t>
            </w:r>
          </w:p>
          <w:p w14:paraId="44A25643">
            <w:pPr>
              <w:tabs>
                <w:tab w:val="left" w:pos="540"/>
              </w:tabs>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最低费率：</w:t>
            </w:r>
          </w:p>
          <w:p w14:paraId="57D76979">
            <w:pPr>
              <w:tabs>
                <w:tab w:val="left" w:pos="540"/>
              </w:tabs>
              <w:adjustRightInd w:val="0"/>
              <w:snapToGrid w:val="0"/>
              <w:spacing w:line="440" w:lineRule="exact"/>
              <w:ind w:firstLine="420" w:firstLineChars="200"/>
              <w:rPr>
                <w:rFonts w:hint="eastAsia" w:ascii="宋体" w:hAnsi="宋体" w:cs="宋体"/>
                <w:color w:val="auto"/>
                <w:szCs w:val="21"/>
                <w:highlight w:val="none"/>
                <w:lang w:val="zh-CN"/>
              </w:rPr>
            </w:pPr>
            <w:r>
              <w:rPr>
                <w:rFonts w:hint="eastAsia" w:ascii="宋体" w:hAnsi="宋体" w:cs="宋体"/>
                <w:b/>
                <w:bCs/>
                <w:color w:val="auto"/>
                <w:szCs w:val="21"/>
                <w:highlight w:val="none"/>
              </w:rPr>
              <w:t xml:space="preserve">房屋建筑与装饰工程: </w:t>
            </w:r>
            <w:r>
              <w:rPr>
                <w:rFonts w:hint="eastAsia" w:ascii="宋体" w:hAnsi="宋体" w:cs="宋体"/>
                <w:color w:val="auto"/>
                <w:szCs w:val="21"/>
                <w:highlight w:val="none"/>
              </w:rPr>
              <w:t>按其取费基数额度</w:t>
            </w:r>
            <w:r>
              <w:rPr>
                <w:rFonts w:hint="eastAsia" w:ascii="宋体" w:hAnsi="宋体" w:cs="宋体"/>
                <w:color w:val="auto"/>
                <w:szCs w:val="21"/>
                <w:highlight w:val="none"/>
                <w:lang w:val="zh-CN"/>
              </w:rPr>
              <w:t>（</w:t>
            </w:r>
            <w:r>
              <w:rPr>
                <w:rFonts w:hint="eastAsia" w:ascii="宋体" w:hAnsi="宋体" w:cs="宋体"/>
                <w:color w:val="auto"/>
                <w:szCs w:val="21"/>
                <w:highlight w:val="none"/>
              </w:rPr>
              <w:t>以合同标段分部分项工程费与施工技术措施费项目费所含“人工费+机械费”</w:t>
            </w:r>
            <w:r>
              <w:rPr>
                <w:rFonts w:hint="eastAsia" w:ascii="宋体" w:hAnsi="宋体" w:cs="宋体"/>
                <w:color w:val="auto"/>
                <w:szCs w:val="21"/>
                <w:highlight w:val="none"/>
                <w:lang w:val="zh-CN"/>
              </w:rPr>
              <w:t>）</w:t>
            </w:r>
            <w:r>
              <w:rPr>
                <w:rFonts w:hint="eastAsia" w:ascii="宋体" w:hAnsi="宋体" w:cs="宋体"/>
                <w:color w:val="auto"/>
                <w:szCs w:val="21"/>
                <w:highlight w:val="none"/>
              </w:rPr>
              <w:t>大小采用分档累进以递减方式计算费用</w:t>
            </w:r>
            <w:r>
              <w:rPr>
                <w:rFonts w:hint="eastAsia" w:ascii="宋体" w:hAnsi="宋体" w:cs="宋体"/>
                <w:color w:val="auto"/>
                <w:szCs w:val="21"/>
                <w:highlight w:val="none"/>
                <w:lang w:val="zh-CN"/>
              </w:rPr>
              <w:t>。</w:t>
            </w:r>
          </w:p>
          <w:p w14:paraId="37625F13">
            <w:pPr>
              <w:tabs>
                <w:tab w:val="left" w:pos="540"/>
              </w:tabs>
              <w:adjustRightInd w:val="0"/>
              <w:snapToGrid w:val="0"/>
              <w:spacing w:line="440" w:lineRule="exact"/>
              <w:ind w:firstLine="420" w:firstLineChars="200"/>
              <w:rPr>
                <w:rFonts w:hint="eastAsia" w:ascii="宋体" w:hAnsi="宋体" w:cs="宋体"/>
                <w:color w:val="auto"/>
                <w:szCs w:val="21"/>
                <w:highlight w:val="none"/>
                <w:lang w:val="zh-CN"/>
              </w:rPr>
            </w:pPr>
            <w:r>
              <w:rPr>
                <w:rFonts w:hint="eastAsia" w:ascii="宋体" w:hAnsi="宋体"/>
                <w:szCs w:val="21"/>
                <w:lang w:val="en-US" w:eastAsia="zh-CN"/>
              </w:rPr>
              <w:t>专业土石方</w:t>
            </w:r>
            <w:r>
              <w:rPr>
                <w:rFonts w:hint="eastAsia" w:ascii="宋体" w:hAnsi="宋体"/>
                <w:szCs w:val="21"/>
                <w:lang w:val="zh-CN"/>
              </w:rPr>
              <w:t>工程</w:t>
            </w:r>
            <w:r>
              <w:rPr>
                <w:rFonts w:hint="eastAsia" w:ascii="宋体" w:hAnsi="宋体" w:cs="宋体"/>
                <w:color w:val="auto"/>
                <w:szCs w:val="21"/>
                <w:highlight w:val="none"/>
                <w:lang w:val="zh-CN"/>
              </w:rPr>
              <w:t>（</w:t>
            </w:r>
            <w:r>
              <w:rPr>
                <w:rFonts w:hint="eastAsia" w:ascii="宋体" w:hAnsi="宋体" w:cs="宋体"/>
                <w:color w:val="auto"/>
                <w:szCs w:val="21"/>
                <w:highlight w:val="none"/>
                <w:lang w:val="en-US" w:eastAsia="zh-CN"/>
              </w:rPr>
              <w:t>非</w:t>
            </w:r>
            <w:r>
              <w:rPr>
                <w:rFonts w:hint="eastAsia" w:ascii="宋体" w:hAnsi="宋体" w:cs="宋体"/>
                <w:color w:val="auto"/>
                <w:szCs w:val="21"/>
                <w:highlight w:val="none"/>
                <w:lang w:val="zh-CN"/>
              </w:rPr>
              <w:t>市区）</w:t>
            </w:r>
            <w:r>
              <w:rPr>
                <w:rFonts w:hint="eastAsia" w:ascii="宋体" w:hAnsi="宋体" w:cs="宋体"/>
                <w:color w:val="auto"/>
                <w:szCs w:val="21"/>
                <w:highlight w:val="none"/>
                <w:lang w:val="en-US" w:eastAsia="zh-CN"/>
              </w:rPr>
              <w:t>2.88</w:t>
            </w:r>
            <w:r>
              <w:rPr>
                <w:rFonts w:hint="eastAsia" w:ascii="宋体" w:hAnsi="宋体" w:cs="宋体"/>
                <w:color w:val="auto"/>
                <w:szCs w:val="21"/>
                <w:highlight w:val="none"/>
                <w:lang w:val="zh-CN"/>
              </w:rPr>
              <w:t>%。</w:t>
            </w:r>
          </w:p>
          <w:p w14:paraId="1451099B">
            <w:pPr>
              <w:tabs>
                <w:tab w:val="left" w:pos="540"/>
              </w:tabs>
              <w:adjustRightInd w:val="0"/>
              <w:snapToGrid w:val="0"/>
              <w:spacing w:line="440" w:lineRule="exact"/>
              <w:ind w:firstLine="420" w:firstLineChars="200"/>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通用安装工程：</w:t>
            </w:r>
          </w:p>
          <w:p w14:paraId="3F3BACF7">
            <w:pPr>
              <w:tabs>
                <w:tab w:val="left" w:pos="540"/>
              </w:tabs>
              <w:adjustRightInd w:val="0"/>
              <w:snapToGrid w:val="0"/>
              <w:spacing w:line="440" w:lineRule="exact"/>
              <w:ind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rPr>
              <w:t>与建（构）筑物同步交叉配合施工的</w:t>
            </w:r>
            <w:r>
              <w:rPr>
                <w:rFonts w:hint="eastAsia" w:ascii="宋体" w:hAnsi="宋体" w:cs="宋体"/>
                <w:color w:val="auto"/>
                <w:szCs w:val="21"/>
                <w:highlight w:val="none"/>
                <w:lang w:val="zh-CN"/>
              </w:rPr>
              <w:t>建筑</w:t>
            </w:r>
            <w:r>
              <w:rPr>
                <w:rFonts w:hint="eastAsia" w:ascii="宋体" w:hAnsi="宋体" w:cs="宋体"/>
                <w:color w:val="auto"/>
                <w:szCs w:val="21"/>
                <w:highlight w:val="none"/>
              </w:rPr>
              <w:t>设备安装工程</w:t>
            </w:r>
            <w:r>
              <w:rPr>
                <w:rFonts w:hint="eastAsia" w:ascii="宋体" w:hAnsi="宋体" w:cs="宋体"/>
                <w:color w:val="auto"/>
                <w:szCs w:val="21"/>
                <w:highlight w:val="none"/>
                <w:lang w:val="zh-CN"/>
              </w:rPr>
              <w:t>（市区）</w:t>
            </w:r>
            <w:r>
              <w:rPr>
                <w:rFonts w:hint="eastAsia" w:ascii="宋体" w:hAnsi="宋体" w:cs="宋体"/>
                <w:color w:val="auto"/>
                <w:szCs w:val="21"/>
                <w:highlight w:val="none"/>
                <w:lang w:val="en-US" w:eastAsia="zh-CN"/>
                <w:woUserID w:val="1"/>
              </w:rPr>
              <w:t>6.13</w:t>
            </w:r>
            <w:r>
              <w:rPr>
                <w:rFonts w:hint="eastAsia" w:ascii="宋体" w:hAnsi="宋体" w:cs="宋体"/>
                <w:color w:val="auto"/>
                <w:szCs w:val="21"/>
                <w:highlight w:val="none"/>
                <w:lang w:val="zh-CN"/>
              </w:rPr>
              <w:t>%。</w:t>
            </w:r>
          </w:p>
          <w:p w14:paraId="080AB326">
            <w:pPr>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、规费取费基数为：</w:t>
            </w:r>
            <w:r>
              <w:rPr>
                <w:rFonts w:hint="eastAsia" w:ascii="宋体" w:hAnsi="宋体" w:cs="宋体"/>
                <w:color w:val="auto"/>
                <w:szCs w:val="21"/>
                <w:highlight w:val="none"/>
                <w:lang w:val="zh-CN"/>
              </w:rPr>
              <w:t>取费基数为人工费+机械费，</w:t>
            </w:r>
            <w:r>
              <w:rPr>
                <w:rFonts w:hint="eastAsia" w:ascii="宋体" w:hAnsi="宋体" w:cs="宋体"/>
                <w:color w:val="auto"/>
                <w:szCs w:val="21"/>
                <w:highlight w:val="none"/>
              </w:rPr>
              <w:t>取费</w:t>
            </w:r>
            <w:r>
              <w:rPr>
                <w:rFonts w:hint="eastAsia" w:ascii="宋体" w:hAnsi="宋体" w:cs="宋体"/>
                <w:color w:val="auto"/>
                <w:szCs w:val="21"/>
                <w:highlight w:val="none"/>
                <w:lang w:val="zh-CN"/>
              </w:rPr>
              <w:t>费率</w:t>
            </w:r>
            <w:r>
              <w:rPr>
                <w:rFonts w:hint="eastAsia" w:ascii="宋体" w:hAnsi="宋体" w:eastAsia="宋体" w:cs="宋体"/>
                <w:color w:val="auto"/>
                <w:szCs w:val="21"/>
                <w:highlight w:val="none"/>
              </w:rPr>
              <w:t>不得低于标准费率的</w:t>
            </w:r>
            <w:r>
              <w:rPr>
                <w:rFonts w:hint="eastAsia" w:ascii="宋体" w:hAnsi="宋体" w:eastAsia="宋体" w:cs="宋体"/>
                <w:bCs/>
                <w:color w:val="auto"/>
                <w:szCs w:val="21"/>
                <w:highlight w:val="none"/>
              </w:rPr>
              <w:t>30%</w:t>
            </w:r>
            <w:r>
              <w:rPr>
                <w:rFonts w:hint="eastAsia" w:ascii="宋体" w:hAnsi="宋体" w:eastAsia="宋体" w:cs="宋体"/>
                <w:bCs/>
                <w:color w:val="auto"/>
                <w:szCs w:val="21"/>
                <w:highlight w:val="none"/>
                <w:lang w:eastAsia="zh-CN"/>
              </w:rPr>
              <w:t>报价</w:t>
            </w:r>
            <w:r>
              <w:rPr>
                <w:rFonts w:hint="eastAsia" w:ascii="宋体" w:hAnsi="宋体" w:cs="宋体"/>
                <w:color w:val="auto"/>
                <w:szCs w:val="21"/>
                <w:highlight w:val="none"/>
              </w:rPr>
              <w:t>。</w:t>
            </w:r>
          </w:p>
          <w:p w14:paraId="22D9471A">
            <w:pPr>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取费费率：</w:t>
            </w:r>
          </w:p>
          <w:p w14:paraId="6E98E5FE">
            <w:pPr>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b/>
                <w:bCs/>
                <w:color w:val="auto"/>
                <w:szCs w:val="21"/>
                <w:highlight w:val="none"/>
              </w:rPr>
              <w:t>房屋建筑</w:t>
            </w:r>
            <w:r>
              <w:rPr>
                <w:rFonts w:hint="eastAsia" w:ascii="宋体" w:hAnsi="宋体" w:cs="宋体"/>
                <w:b/>
                <w:bCs/>
                <w:color w:val="auto"/>
                <w:szCs w:val="21"/>
                <w:highlight w:val="none"/>
                <w:lang w:val="zh-CN"/>
              </w:rPr>
              <w:t>与装饰</w:t>
            </w:r>
            <w:r>
              <w:rPr>
                <w:rFonts w:hint="eastAsia" w:ascii="宋体" w:hAnsi="宋体" w:cs="宋体"/>
                <w:b/>
                <w:bCs/>
                <w:color w:val="auto"/>
                <w:szCs w:val="21"/>
                <w:highlight w:val="none"/>
              </w:rPr>
              <w:t>工程：</w:t>
            </w:r>
            <w:r>
              <w:rPr>
                <w:rFonts w:hint="eastAsia" w:ascii="宋体" w:hAnsi="宋体" w:cs="宋体"/>
                <w:color w:val="auto"/>
                <w:szCs w:val="21"/>
                <w:highlight w:val="none"/>
              </w:rPr>
              <w:t>房屋建筑及构筑物工程</w:t>
            </w:r>
            <w:r>
              <w:rPr>
                <w:rFonts w:hint="eastAsia" w:ascii="宋体" w:hAnsi="宋体" w:cs="宋体"/>
                <w:color w:val="auto"/>
                <w:szCs w:val="21"/>
                <w:highlight w:val="none"/>
                <w:lang w:val="en-US" w:eastAsia="zh-CN"/>
              </w:rPr>
              <w:t>12.62</w:t>
            </w:r>
            <w:r>
              <w:rPr>
                <w:rFonts w:hint="eastAsia" w:ascii="宋体" w:hAnsi="宋体" w:cs="宋体"/>
                <w:color w:val="auto"/>
                <w:szCs w:val="21"/>
                <w:highlight w:val="none"/>
              </w:rPr>
              <w:t>%*</w:t>
            </w:r>
            <w:r>
              <w:rPr>
                <w:rFonts w:hint="eastAsia" w:ascii="宋体" w:hAnsi="宋体" w:eastAsia="宋体" w:cs="宋体"/>
                <w:bCs/>
                <w:color w:val="auto"/>
                <w:szCs w:val="21"/>
                <w:highlight w:val="none"/>
              </w:rPr>
              <w:t>30%=</w:t>
            </w:r>
            <w:r>
              <w:rPr>
                <w:rFonts w:hint="eastAsia" w:ascii="宋体" w:hAnsi="宋体" w:cs="宋体"/>
                <w:bCs/>
                <w:color w:val="auto"/>
                <w:szCs w:val="21"/>
                <w:highlight w:val="none"/>
                <w:lang w:val="en-US" w:eastAsia="zh-CN"/>
              </w:rPr>
              <w:t>3.786</w:t>
            </w:r>
            <w:r>
              <w:rPr>
                <w:rFonts w:hint="eastAsia" w:ascii="宋体" w:hAnsi="宋体" w:eastAsia="宋体" w:cs="宋体"/>
                <w:bCs/>
                <w:color w:val="auto"/>
                <w:szCs w:val="21"/>
                <w:highlight w:val="none"/>
              </w:rPr>
              <w:t>%</w:t>
            </w:r>
            <w:r>
              <w:rPr>
                <w:rFonts w:hint="eastAsia" w:ascii="宋体" w:hAnsi="宋体" w:cs="宋体"/>
                <w:color w:val="auto"/>
                <w:szCs w:val="21"/>
                <w:highlight w:val="none"/>
              </w:rPr>
              <w:t>，</w:t>
            </w:r>
          </w:p>
          <w:p w14:paraId="3D6FE285">
            <w:pPr>
              <w:adjustRightInd w:val="0"/>
              <w:snapToGrid w:val="0"/>
              <w:spacing w:line="440" w:lineRule="exact"/>
              <w:ind w:firstLine="420" w:firstLineChars="200"/>
              <w:rPr>
                <w:rFonts w:hint="eastAsia" w:ascii="宋体" w:hAnsi="宋体" w:eastAsia="宋体" w:cs="宋体"/>
                <w:bCs/>
                <w:color w:val="auto"/>
                <w:szCs w:val="21"/>
                <w:highlight w:val="none"/>
                <w:lang w:eastAsia="zh-CN"/>
              </w:rPr>
            </w:pPr>
            <w:r>
              <w:rPr>
                <w:rFonts w:hint="eastAsia" w:ascii="宋体" w:hAnsi="宋体" w:cs="宋体"/>
                <w:b/>
                <w:bCs/>
                <w:color w:val="auto"/>
                <w:szCs w:val="21"/>
                <w:highlight w:val="none"/>
              </w:rPr>
              <w:t>通用安装工程：</w:t>
            </w:r>
            <w:r>
              <w:rPr>
                <w:rFonts w:hint="eastAsia" w:ascii="宋体" w:hAnsi="宋体" w:cs="宋体"/>
                <w:color w:val="auto"/>
                <w:szCs w:val="21"/>
                <w:highlight w:val="none"/>
              </w:rPr>
              <w:t>水、电、暖通、消防、智能、自控及通信安装工程30.63%*</w:t>
            </w:r>
            <w:r>
              <w:rPr>
                <w:rFonts w:hint="eastAsia" w:ascii="宋体" w:hAnsi="宋体" w:eastAsia="宋体" w:cs="宋体"/>
                <w:bCs/>
                <w:color w:val="auto"/>
                <w:szCs w:val="21"/>
                <w:highlight w:val="none"/>
              </w:rPr>
              <w:t>30%=9.19%</w:t>
            </w:r>
            <w:r>
              <w:rPr>
                <w:rFonts w:hint="eastAsia" w:ascii="宋体" w:hAnsi="宋体" w:eastAsia="宋体" w:cs="宋体"/>
                <w:bCs/>
                <w:color w:val="auto"/>
                <w:szCs w:val="21"/>
                <w:highlight w:val="none"/>
                <w:lang w:eastAsia="zh-CN"/>
              </w:rPr>
              <w:t>。</w:t>
            </w:r>
          </w:p>
          <w:p w14:paraId="1679B39F">
            <w:pPr>
              <w:numPr>
                <w:ilvl w:val="-1"/>
                <w:numId w:val="0"/>
              </w:numPr>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val="zh-CN"/>
              </w:rPr>
              <w:t>税金：</w:t>
            </w:r>
            <w:r>
              <w:rPr>
                <w:rFonts w:hint="eastAsia" w:ascii="宋体" w:hAnsi="宋体" w:cs="宋体"/>
                <w:color w:val="auto"/>
                <w:szCs w:val="21"/>
                <w:highlight w:val="none"/>
              </w:rPr>
              <w:t>费率按9.00%计算。</w:t>
            </w:r>
          </w:p>
          <w:p w14:paraId="69EBA89B">
            <w:pPr>
              <w:numPr>
                <w:ilvl w:val="-1"/>
                <w:numId w:val="0"/>
              </w:numPr>
              <w:adjustRightInd w:val="0"/>
              <w:snapToGrid w:val="0"/>
              <w:spacing w:line="440" w:lineRule="exact"/>
              <w:ind w:firstLine="420" w:firstLineChars="200"/>
              <w:rPr>
                <w:rFonts w:hint="eastAsia" w:ascii="宋体" w:hAnsi="宋体" w:eastAsia="宋体" w:cs="宋体"/>
                <w:color w:val="auto"/>
                <w:szCs w:val="21"/>
                <w:highlight w:val="none"/>
              </w:rPr>
            </w:pPr>
          </w:p>
          <w:p w14:paraId="13CBC29B">
            <w:pPr>
              <w:spacing w:line="360" w:lineRule="auto"/>
              <w:ind w:firstLine="420" w:firstLineChars="200"/>
              <w:rPr>
                <w:rFonts w:hint="eastAsia" w:ascii="宋体" w:hAnsi="宋体" w:cs="宋体"/>
                <w:b/>
                <w:bCs/>
                <w:szCs w:val="21"/>
              </w:rPr>
            </w:pPr>
            <w:r>
              <w:rPr>
                <w:rFonts w:hint="eastAsia" w:ascii="宋体" w:hAnsi="宋体" w:cs="宋体"/>
                <w:b/>
                <w:bCs/>
                <w:szCs w:val="21"/>
                <w:lang w:val="en-US" w:eastAsia="zh-CN"/>
              </w:rPr>
              <w:t>八</w:t>
            </w:r>
            <w:r>
              <w:rPr>
                <w:rFonts w:hint="eastAsia" w:ascii="宋体" w:hAnsi="宋体" w:cs="宋体"/>
                <w:b/>
                <w:bCs/>
                <w:szCs w:val="21"/>
              </w:rPr>
              <w:t>、其他需要说明的问题</w:t>
            </w:r>
          </w:p>
          <w:p w14:paraId="5BF7380E">
            <w:pPr>
              <w:spacing w:line="360" w:lineRule="auto"/>
              <w:ind w:firstLine="420" w:firstLineChars="200"/>
              <w:rPr>
                <w:rFonts w:hint="eastAsia" w:ascii="宋体" w:hAnsi="宋体" w:cs="宋体"/>
                <w:b/>
                <w:bCs/>
                <w:szCs w:val="21"/>
              </w:rPr>
            </w:pPr>
            <w:r>
              <w:rPr>
                <w:rFonts w:hint="eastAsia" w:ascii="宋体" w:hAnsi="宋体" w:cs="宋体"/>
                <w:b/>
                <w:bCs/>
                <w:szCs w:val="21"/>
              </w:rPr>
              <w:t>（一）整体</w:t>
            </w:r>
          </w:p>
          <w:p w14:paraId="553F3FC0">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分部分项工程量清单中的工程量是按实物净量计算的，一切损耗均应在投标报价的综合单价中考虑。</w:t>
            </w:r>
          </w:p>
          <w:p w14:paraId="3DC5C0AD">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各投标单位在进行综合单价报价时必须结合施工图、施工规范、技术标准、图集、勘察报告、测绘报告、设计联系单、设计答疑、相关图集、文件等进行编制，清单子目中未能对各节点详图进行完全性描述的必须按上述资料进行报价，否则视为已计入相应项目综合单价中，中标后将不调整综合单价。</w:t>
            </w:r>
          </w:p>
          <w:p w14:paraId="123989D7">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投标人应在综合单价中充分考虑施工中的各种损耗和需要增加的工程量，所报综合单价应包含该清单子目的所有工作内容，并考虑风险因素。</w:t>
            </w:r>
          </w:p>
          <w:p w14:paraId="714376BD">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投标人未填报综合单价或合价的项目，其费用视为已分摊在其他项目的综合单价与合价中，该项工作实施后，招标人将不予支付。</w:t>
            </w:r>
          </w:p>
          <w:p w14:paraId="79BE7D24">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投标人应将工程量清单充分结合图纸一起阅读并理解，对于清单描述不够详尽的，应结合图纸要求进行报价。</w:t>
            </w:r>
          </w:p>
          <w:p w14:paraId="490B950A">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工程量清单项目特征描述的是主要工作内容，其他辅助工作内容投标人自行考虑，并计入综合单价及合价。</w:t>
            </w:r>
          </w:p>
          <w:p w14:paraId="50BFE430">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技术措施项目清单与计价表提供的项目仅供投标人参考，投标人应结合自身的优化设计与施工组织方案进行措施项目报价，如投标人认为表中的项目还不足以包含所需的措施项目，投标人自行补充的相应措施项目</w:t>
            </w:r>
            <w:r>
              <w:rPr>
                <w:rFonts w:hint="eastAsia" w:ascii="宋体" w:hAnsi="宋体" w:cs="宋体"/>
                <w:lang w:val="en-US" w:eastAsia="zh-CN"/>
              </w:rPr>
              <w:t>在</w:t>
            </w:r>
            <w:r>
              <w:rPr>
                <w:rFonts w:hint="eastAsia" w:ascii="宋体" w:hAnsi="宋体" w:cs="宋体"/>
              </w:rPr>
              <w:t>其他措施费中进行报价，并在明细中列清项目明细内容，并提供相应的措施项目清单综合单价计算表及工料机分析表。</w:t>
            </w:r>
          </w:p>
          <w:p w14:paraId="08781787">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004A92D4">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本工程的所有建材、管线等材料进场前中标单位先提供样品由建设单位、设计和监理方确认后方可进场，请充分考虑风险后报价。</w:t>
            </w:r>
          </w:p>
          <w:p w14:paraId="37C2FBC3">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投标报价应综合考虑各项技术规范所涉及的各项要求进行报价，若国家/省级/地方技术规范发生冲突，以最高标准执行。</w:t>
            </w:r>
          </w:p>
          <w:p w14:paraId="6BCC1084">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投标人应先到工地踏勘以充分了解工地位置、现状、交通运输、空间局限及任何其它足以影响报价的情况，任何因忽视或误解工地情况而导致的索赔或工期延长申请将不获批准。</w:t>
            </w:r>
          </w:p>
          <w:p w14:paraId="79FCD548">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分部分项工程量清单中对工程项目的项目特征及具体做法只作重点描述，详细情况见施工图设计、技术说明、技术措施表及相关标准图集。组价时应结合投标人现场勘察情况包括完成所有工序工作内容的全部费用。</w:t>
            </w:r>
          </w:p>
          <w:p w14:paraId="5F2BACD9">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清单中涉及到有关标准图集的，投标综合单价应包含标准图集做法中所有工作内容。</w:t>
            </w:r>
          </w:p>
          <w:p w14:paraId="23CE7544">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w:t>
            </w:r>
          </w:p>
          <w:p w14:paraId="5663F521">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工程量清单及其计价依据格式中的任何内容不得随意删除或涂改，若有错误，在招标答疑时及时提出，以“补充答疑”资料为准。</w:t>
            </w:r>
          </w:p>
          <w:p w14:paraId="726C5B40">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本清单项目特征内未注明的单位均为mm（毫米）。</w:t>
            </w:r>
          </w:p>
          <w:p w14:paraId="5BED9B8D">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排污许可和排水许可由投标单位负责审批，其费用计入投标报价中，中标后招标人不再另行支付相关费用。均应含在投标报价中。</w:t>
            </w:r>
          </w:p>
          <w:p w14:paraId="31FAB9E8">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投标人踏勘现场后根据工程需要和职能部门及建设方要求自行组织，同时对已建道路或便道及维修和保养，</w:t>
            </w:r>
            <w:r>
              <w:rPr>
                <w:rFonts w:hint="eastAsia" w:ascii="宋体" w:hAnsi="宋体" w:cs="宋体"/>
                <w:lang w:val="en-US" w:eastAsia="zh-CN"/>
              </w:rPr>
              <w:t>因投标人原因造成损坏，应负责修复，以上</w:t>
            </w:r>
            <w:r>
              <w:rPr>
                <w:rFonts w:hint="eastAsia" w:ascii="宋体" w:hAnsi="宋体" w:cs="宋体"/>
              </w:rPr>
              <w:t>费用考虑在措施费中；</w:t>
            </w:r>
          </w:p>
          <w:p w14:paraId="537D53E3">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施工范围内的临时道路及施工便道设置、日常养护费用请投标人自行报价。</w:t>
            </w:r>
          </w:p>
          <w:p w14:paraId="435B6FBF">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技术措施费项目应包括完成该工程所需的全部技术措施项目费用，本招标工程量清单中的“大型机械设备进出场及安拆等以“项”为计量单位的技术措施项目清单费用包干，由各投标人根据自己的施工组织设计、现场的各种风险因素进行报价。</w:t>
            </w:r>
          </w:p>
          <w:p w14:paraId="68BEF64A">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投标人根据自行确定的施工方案及招标文件相关要求，认为有必要增加的技术措施费（如抗台、障碍物处理对周边影响等具体内容详见招标文件），计入其他措施费中，一旦中标不再调整。</w:t>
            </w:r>
          </w:p>
          <w:p w14:paraId="112A9BFD">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投标人根据招标文件相关要求及工程实际情况结合自行确定的施工组织设计或施工方案，对技术措施清单中未列明的措施费用计入</w:t>
            </w:r>
            <w:r>
              <w:rPr>
                <w:rFonts w:hint="eastAsia" w:ascii="宋体" w:hAnsi="宋体" w:cs="宋体"/>
                <w:lang w:val="en-US" w:eastAsia="zh-CN"/>
              </w:rPr>
              <w:t>在</w:t>
            </w:r>
            <w:r>
              <w:rPr>
                <w:rFonts w:hint="eastAsia" w:ascii="宋体" w:hAnsi="宋体" w:cs="宋体"/>
              </w:rPr>
              <w:t>其他措施费中。</w:t>
            </w:r>
          </w:p>
          <w:p w14:paraId="1928BAB1">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施工临时道口开通审批和临时道口施工费用由投标单位承担，其费用计入投标报价中，中标后招标人不再另行支付相关费用。均应含在投标报价中。</w:t>
            </w:r>
          </w:p>
          <w:p w14:paraId="3D2D2856">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所有现浇砼均采用商品砼。</w:t>
            </w:r>
          </w:p>
          <w:p w14:paraId="656713A1">
            <w:pPr>
              <w:widowControl/>
              <w:numPr>
                <w:ilvl w:val="0"/>
                <w:numId w:val="1"/>
              </w:numPr>
              <w:spacing w:line="360" w:lineRule="auto"/>
              <w:ind w:firstLine="420" w:firstLineChars="200"/>
              <w:jc w:val="left"/>
              <w:rPr>
                <w:rFonts w:hint="eastAsia" w:ascii="宋体" w:hAnsi="宋体" w:cs="宋体"/>
                <w:highlight w:val="none"/>
              </w:rPr>
            </w:pPr>
            <w:r>
              <w:rPr>
                <w:rFonts w:hint="eastAsia" w:ascii="宋体" w:hAnsi="宋体" w:cs="宋体"/>
                <w:highlight w:val="none"/>
              </w:rPr>
              <w:t>本工程按</w:t>
            </w:r>
            <w:r>
              <w:rPr>
                <w:rFonts w:hint="eastAsia" w:ascii="宋体" w:hAnsi="宋体" w:cs="宋体"/>
                <w:highlight w:val="none"/>
                <w:lang w:val="en-US" w:eastAsia="zh-CN"/>
              </w:rPr>
              <w:t>浙江舟山</w:t>
            </w:r>
            <w:r>
              <w:rPr>
                <w:rFonts w:hint="eastAsia" w:ascii="宋体" w:hAnsi="宋体" w:cs="宋体"/>
                <w:highlight w:val="none"/>
              </w:rPr>
              <w:t>的《关于</w:t>
            </w:r>
            <w:r>
              <w:rPr>
                <w:rFonts w:hint="eastAsia" w:ascii="宋体" w:hAnsi="宋体" w:cs="宋体"/>
                <w:highlight w:val="none"/>
                <w:lang w:val="en-US" w:eastAsia="zh-CN"/>
              </w:rPr>
              <w:t>进一步推广使用预拌砂浆的通知</w:t>
            </w:r>
            <w:r>
              <w:rPr>
                <w:rFonts w:hint="eastAsia" w:ascii="宋体" w:hAnsi="宋体" w:cs="宋体"/>
                <w:highlight w:val="none"/>
              </w:rPr>
              <w:t>》的要求使用预拌砂浆，清单项目特征所列砂浆标号为非预拌砂浆，施工单位应按对应标号的预拌砂浆，其相关费用由施工单位自行考虑计入相应子目综合单价。</w:t>
            </w:r>
          </w:p>
          <w:p w14:paraId="5D9FEEAB">
            <w:pPr>
              <w:widowControl/>
              <w:numPr>
                <w:ilvl w:val="0"/>
                <w:numId w:val="1"/>
              </w:numPr>
              <w:spacing w:line="360" w:lineRule="auto"/>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投标人在投标报价时应充分领会《浙江省建设工程量清单计价指引》中各项目所组合的工程内容。</w:t>
            </w:r>
          </w:p>
          <w:p w14:paraId="0CE9F458">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投标人应先到工地踏勘，充分了解掌握现场情况，如工地位置、情况、道路、储存空间、装卸限制、当地的市政、市容、交通、治安、环保、环卫、城管、当地村民及任何其它足以影响承包价的情况，预计施工过程中各种不利因素，可将处理所需费用单列，计入投标报价。</w:t>
            </w:r>
          </w:p>
          <w:p w14:paraId="1B0FC74C">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风险金由投标人自行报价计入总价中，中标后不作调整。</w:t>
            </w:r>
          </w:p>
          <w:p w14:paraId="681A06EC">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下列项目由投标单位自行现场勘察并结合本工程实际情况、计算并计入项目措施费中，若不列项或报价为0，视作优惠处理，今后一律不得调整。</w:t>
            </w:r>
          </w:p>
          <w:p w14:paraId="1C8CEDE3">
            <w:pPr>
              <w:widowControl/>
              <w:spacing w:line="360" w:lineRule="auto"/>
              <w:ind w:firstLine="210" w:firstLineChars="100"/>
              <w:jc w:val="left"/>
              <w:rPr>
                <w:rFonts w:hint="eastAsia" w:ascii="宋体" w:hAnsi="宋体" w:cs="宋体"/>
              </w:rPr>
            </w:pPr>
            <w:r>
              <w:rPr>
                <w:rFonts w:hint="eastAsia" w:ascii="宋体" w:hAnsi="宋体" w:cs="宋体"/>
              </w:rPr>
              <w:t>（</w:t>
            </w:r>
            <w:r>
              <w:rPr>
                <w:rFonts w:hint="eastAsia" w:ascii="宋体" w:hAnsi="宋体" w:cs="宋体"/>
                <w:lang w:val="en-US" w:eastAsia="zh-CN"/>
              </w:rPr>
              <w:t>1</w:t>
            </w:r>
            <w:r>
              <w:rPr>
                <w:rFonts w:hint="eastAsia" w:ascii="宋体" w:hAnsi="宋体" w:cs="宋体"/>
              </w:rPr>
              <w:t>）因电力紧张或配备施工变压器容量不足等因素所发生的费用。</w:t>
            </w:r>
          </w:p>
          <w:p w14:paraId="04CF54AE">
            <w:pPr>
              <w:widowControl/>
              <w:spacing w:line="360" w:lineRule="auto"/>
              <w:ind w:firstLine="210" w:firstLineChars="100"/>
              <w:jc w:val="left"/>
              <w:rPr>
                <w:rFonts w:hint="eastAsia" w:ascii="宋体" w:hAnsi="宋体" w:cs="宋体"/>
              </w:rPr>
            </w:pPr>
            <w:r>
              <w:rPr>
                <w:rFonts w:hint="eastAsia" w:ascii="宋体" w:hAnsi="宋体" w:cs="宋体"/>
              </w:rPr>
              <w:t>（</w:t>
            </w:r>
            <w:r>
              <w:rPr>
                <w:rFonts w:hint="eastAsia" w:ascii="宋体" w:hAnsi="宋体" w:cs="宋体"/>
                <w:lang w:val="en-US" w:eastAsia="zh-CN"/>
              </w:rPr>
              <w:t>2</w:t>
            </w:r>
            <w:r>
              <w:rPr>
                <w:rFonts w:hint="eastAsia" w:ascii="宋体" w:hAnsi="宋体" w:cs="宋体"/>
              </w:rPr>
              <w:t>）场地内的二次搬运费。</w:t>
            </w:r>
          </w:p>
          <w:p w14:paraId="6C1392CB">
            <w:pPr>
              <w:widowControl/>
              <w:spacing w:line="360" w:lineRule="auto"/>
              <w:ind w:firstLine="210" w:firstLineChars="100"/>
              <w:jc w:val="left"/>
              <w:rPr>
                <w:rFonts w:hint="eastAsia" w:ascii="宋体" w:hAnsi="宋体" w:cs="宋体"/>
              </w:rPr>
            </w:pPr>
            <w:r>
              <w:rPr>
                <w:rFonts w:hint="eastAsia" w:ascii="宋体" w:hAnsi="宋体" w:cs="宋体"/>
              </w:rPr>
              <w:t>（</w:t>
            </w:r>
            <w:r>
              <w:rPr>
                <w:rFonts w:hint="eastAsia" w:ascii="宋体" w:hAnsi="宋体" w:cs="宋体"/>
                <w:lang w:val="en-US" w:eastAsia="zh-CN"/>
              </w:rPr>
              <w:t>3</w:t>
            </w:r>
            <w:r>
              <w:rPr>
                <w:rFonts w:hint="eastAsia" w:ascii="宋体" w:hAnsi="宋体" w:cs="宋体"/>
              </w:rPr>
              <w:t>）因施工场地限制，对临时设施搭设及施工进度的影响。</w:t>
            </w:r>
          </w:p>
          <w:p w14:paraId="1482653F">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施工单位需要考虑工程移交前工程范围内的卫生保洁费用，以及施工现场配备保安人员做好防盗、防损工作所需的费用，计入措施项目费中，否则视作优惠。</w:t>
            </w:r>
          </w:p>
          <w:p w14:paraId="0B0B7EC7">
            <w:pPr>
              <w:widowControl/>
              <w:numPr>
                <w:ilvl w:val="0"/>
                <w:numId w:val="1"/>
              </w:numPr>
              <w:spacing w:line="360" w:lineRule="auto"/>
              <w:ind w:firstLine="420" w:firstLineChars="200"/>
              <w:jc w:val="left"/>
              <w:rPr>
                <w:rFonts w:hint="eastAsia" w:ascii="宋体" w:hAnsi="宋体" w:cs="宋体"/>
              </w:rPr>
            </w:pPr>
            <w:r>
              <w:rPr>
                <w:rFonts w:hint="eastAsia" w:ascii="宋体" w:hAnsi="宋体" w:cs="宋体"/>
              </w:rPr>
              <w:t>因重大会议、活动或其它特殊情况</w:t>
            </w:r>
            <w:r>
              <w:rPr>
                <w:rFonts w:hint="eastAsia" w:ascii="宋体" w:hAnsi="宋体" w:cs="宋体"/>
                <w:lang w:val="en-US" w:eastAsia="zh-CN"/>
              </w:rPr>
              <w:t>等</w:t>
            </w:r>
            <w:r>
              <w:rPr>
                <w:rFonts w:hint="eastAsia" w:ascii="宋体" w:hAnsi="宋体" w:cs="宋体"/>
              </w:rPr>
              <w:t>，政府部门以任何形式发布相关停工通知的，所有项目必须无条件服从要求进行停工，投标单位根据施工组织方案充分考虑组织措施增加费、技术措施增加费，人员、机械窝工及相关全部费用，在综合单价报价中充分考虑，自行报价；所有相关费用包含在本合同价中，相关风险由承包人自行考虑并承担。</w:t>
            </w:r>
          </w:p>
          <w:p w14:paraId="0AAA275F">
            <w:pPr>
              <w:numPr>
                <w:ilvl w:val="0"/>
                <w:numId w:val="1"/>
              </w:numPr>
              <w:spacing w:line="440" w:lineRule="exact"/>
              <w:ind w:firstLine="420" w:firstLineChars="200"/>
              <w:rPr>
                <w:rFonts w:hint="eastAsia" w:ascii="宋体" w:hAnsi="宋体" w:cs="宋体"/>
                <w:szCs w:val="21"/>
              </w:rPr>
            </w:pPr>
            <w:r>
              <w:rPr>
                <w:rFonts w:hint="eastAsia" w:ascii="宋体" w:hAnsi="宋体" w:cs="宋体"/>
                <w:szCs w:val="21"/>
              </w:rPr>
              <w:t>所有材料必须符合设计及招标人要求，由投标人根据招标文件及施工图的要求明确规格型号和报价，有推荐品牌的，投标人应在推荐品牌中选择，并在备注栏中标明品牌；无推荐品牌的，投标人也应在备注栏中标明选择的品牌。若投标人未列出，在施工期间，招标人可根据工程需要提出要求，投标人必须按照招标人的要求提供材料（设备），费用差价风险由投标人承担。</w:t>
            </w:r>
          </w:p>
          <w:p w14:paraId="00C0DF67">
            <w:pPr>
              <w:numPr>
                <w:ilvl w:val="0"/>
                <w:numId w:val="1"/>
              </w:numPr>
              <w:spacing w:line="440" w:lineRule="exact"/>
              <w:ind w:firstLine="420" w:firstLineChars="200"/>
              <w:rPr>
                <w:rFonts w:hint="eastAsia" w:ascii="宋体" w:hAnsi="宋体" w:cs="宋体"/>
                <w:szCs w:val="21"/>
              </w:rPr>
            </w:pPr>
            <w:r>
              <w:rPr>
                <w:rFonts w:hint="eastAsia" w:ascii="宋体" w:hAnsi="宋体" w:cs="宋体"/>
                <w:szCs w:val="21"/>
                <w:lang w:val="en-US" w:eastAsia="zh-CN"/>
              </w:rPr>
              <w:t>工程一切险、第三方责任险投标人</w:t>
            </w:r>
            <w:bookmarkStart w:id="0" w:name="_GoBack"/>
            <w:bookmarkEnd w:id="0"/>
            <w:r>
              <w:rPr>
                <w:rFonts w:hint="eastAsia" w:ascii="宋体" w:hAnsi="宋体" w:cs="宋体"/>
                <w:szCs w:val="21"/>
                <w:lang w:val="en-US" w:eastAsia="zh-CN"/>
              </w:rPr>
              <w:t>根据工程实际情况进行报价。</w:t>
            </w:r>
          </w:p>
          <w:p w14:paraId="721340F8">
            <w:pPr>
              <w:spacing w:line="360" w:lineRule="auto"/>
              <w:ind w:firstLine="550" w:firstLineChars="250"/>
              <w:rPr>
                <w:rFonts w:hint="eastAsia" w:ascii="宋体" w:hAnsi="宋体" w:cs="宋体"/>
                <w:b/>
                <w:sz w:val="22"/>
                <w:szCs w:val="22"/>
              </w:rPr>
            </w:pPr>
            <w:r>
              <w:rPr>
                <w:rFonts w:hint="eastAsia" w:ascii="宋体" w:hAnsi="宋体" w:cs="宋体"/>
                <w:b/>
                <w:sz w:val="22"/>
                <w:szCs w:val="22"/>
              </w:rPr>
              <w:t>（二）房屋</w:t>
            </w:r>
            <w:r>
              <w:rPr>
                <w:rFonts w:hint="eastAsia" w:ascii="宋体" w:hAnsi="宋体" w:cs="宋体"/>
                <w:b/>
                <w:bCs/>
                <w:sz w:val="22"/>
                <w:szCs w:val="28"/>
              </w:rPr>
              <w:t>建筑与装饰工程</w:t>
            </w:r>
          </w:p>
          <w:p w14:paraId="7D857FB0">
            <w:pPr>
              <w:spacing w:line="360" w:lineRule="auto"/>
              <w:ind w:firstLine="525" w:firstLineChars="250"/>
              <w:rPr>
                <w:rFonts w:hint="eastAsia" w:ascii="宋体" w:hAnsi="宋体"/>
                <w:szCs w:val="21"/>
              </w:rPr>
            </w:pPr>
            <w:r>
              <w:rPr>
                <w:rFonts w:hint="eastAsia" w:ascii="宋体" w:hAnsi="宋体"/>
                <w:szCs w:val="21"/>
                <w:lang w:val="en-US" w:eastAsia="zh-CN"/>
              </w:rPr>
              <w:t>1</w:t>
            </w:r>
            <w:r>
              <w:rPr>
                <w:rFonts w:hint="eastAsia" w:ascii="宋体" w:hAnsi="宋体"/>
                <w:szCs w:val="21"/>
              </w:rPr>
              <w:t>、土方类别、地下水位高程参见岩土工程勘察报告中的土质分布类别、地下水描述，请投标人结合现场踏勘充分考虑，由投标人自行考虑相关费用在相应清单子目综合单价中，中标后招标人不再另行支付相关费用。</w:t>
            </w:r>
          </w:p>
          <w:p w14:paraId="4411A000">
            <w:pPr>
              <w:spacing w:line="360" w:lineRule="auto"/>
              <w:ind w:firstLine="525" w:firstLineChars="250"/>
              <w:rPr>
                <w:rFonts w:hint="eastAsia" w:ascii="宋体" w:hAnsi="宋体" w:eastAsia="宋体" w:cs="Times New Roman"/>
                <w:szCs w:val="21"/>
                <w:lang w:val="en-US" w:eastAsia="zh-CN"/>
              </w:rPr>
            </w:pPr>
            <w:r>
              <w:rPr>
                <w:rFonts w:hint="eastAsia" w:ascii="宋体" w:hAnsi="宋体"/>
                <w:szCs w:val="21"/>
                <w:lang w:val="en-US" w:eastAsia="zh-CN"/>
              </w:rPr>
              <w:t>2、回填塘渣清单工程量按底标高至回填后标高进行计算，回填产生的沉降，投标人应在投标单价中予以考虑。</w:t>
            </w:r>
          </w:p>
          <w:p w14:paraId="78CE75EA">
            <w:pPr>
              <w:spacing w:line="360" w:lineRule="auto"/>
              <w:ind w:firstLine="550" w:firstLineChars="250"/>
              <w:rPr>
                <w:rFonts w:hint="eastAsia" w:ascii="宋体" w:hAnsi="宋体" w:cs="宋体"/>
                <w:color w:val="auto"/>
                <w:sz w:val="21"/>
                <w:szCs w:val="21"/>
                <w:highlight w:val="none"/>
              </w:rPr>
            </w:pPr>
            <w:r>
              <w:rPr>
                <w:rFonts w:hint="eastAsia" w:ascii="宋体" w:hAnsi="宋体" w:cs="宋体"/>
                <w:b/>
                <w:color w:val="auto"/>
                <w:sz w:val="22"/>
                <w:szCs w:val="22"/>
                <w:highlight w:val="none"/>
              </w:rPr>
              <w:t>（三）安装工程</w:t>
            </w:r>
          </w:p>
          <w:p w14:paraId="5C8B4122">
            <w:pPr>
              <w:pStyle w:val="8"/>
              <w:keepNext w:val="0"/>
              <w:keepLines w:val="0"/>
              <w:widowControl/>
              <w:suppressLineNumbers w:val="0"/>
              <w:spacing w:before="0" w:beforeAutospacing="0" w:after="0" w:afterAutospacing="0" w:line="440" w:lineRule="exact"/>
              <w:ind w:left="0" w:leftChars="0" w:right="0" w:firstLine="420" w:firstLineChars="200"/>
              <w:jc w:val="both"/>
              <w:rPr>
                <w:rFonts w:hint="eastAsia" w:ascii="宋体" w:hAnsi="宋体" w:eastAsia="宋体" w:cs="宋体"/>
                <w:kern w:val="2"/>
                <w:sz w:val="21"/>
                <w:szCs w:val="21"/>
                <w:highlight w:val="none"/>
                <w:lang w:eastAsia="zh-CN"/>
                <w:woUserID w:val="1"/>
              </w:rPr>
            </w:pPr>
            <w:r>
              <w:rPr>
                <w:rFonts w:hint="default" w:ascii="宋体" w:hAnsi="宋体" w:eastAsia="宋体" w:cs="Times New Roman"/>
                <w:b w:val="0"/>
                <w:bCs w:val="0"/>
                <w:sz w:val="21"/>
                <w:szCs w:val="21"/>
                <w:highlight w:val="none"/>
                <w:lang w:eastAsia="zh-CN"/>
                <w:woUserID w:val="5"/>
              </w:rPr>
              <w:t>1</w:t>
            </w:r>
            <w:r>
              <w:rPr>
                <w:rFonts w:hint="eastAsia" w:ascii="宋体" w:hAnsi="宋体" w:eastAsia="宋体" w:cs="Times New Roman"/>
                <w:b w:val="0"/>
                <w:bCs w:val="0"/>
                <w:sz w:val="21"/>
                <w:szCs w:val="21"/>
                <w:highlight w:val="none"/>
                <w:lang w:eastAsia="zh-CN"/>
                <w:woUserID w:val="5"/>
              </w:rPr>
              <w:t>、</w:t>
            </w:r>
            <w:r>
              <w:rPr>
                <w:rFonts w:hint="default" w:ascii="宋体" w:hAnsi="宋体" w:cs="宋体"/>
                <w:i w:val="0"/>
                <w:kern w:val="2"/>
                <w:sz w:val="21"/>
                <w:szCs w:val="21"/>
                <w:highlight w:val="none"/>
                <w:lang w:eastAsia="zh-CN" w:bidi="ar"/>
                <w:woUserID w:val="1"/>
              </w:rPr>
              <w:t>本工程水箱暂按4*5*3m规格计入，保温按</w:t>
            </w:r>
            <w:r>
              <w:rPr>
                <w:rFonts w:ascii="宋体" w:hAnsi="宋体" w:cs="宋体"/>
                <w:kern w:val="2"/>
                <w:sz w:val="21"/>
                <w:szCs w:val="21"/>
                <w:highlight w:val="none"/>
                <w:woUserID w:val="1"/>
              </w:rPr>
              <w:t>可发性聚氨酯泡沫塑料考虑，厚度50mm</w:t>
            </w:r>
            <w:r>
              <w:rPr>
                <w:rFonts w:hint="eastAsia" w:ascii="宋体" w:hAnsi="宋体" w:cs="宋体"/>
                <w:kern w:val="2"/>
                <w:sz w:val="21"/>
                <w:szCs w:val="21"/>
                <w:highlight w:val="none"/>
                <w:lang w:eastAsia="zh-CN"/>
                <w:woUserID w:val="1"/>
              </w:rPr>
              <w:t>。</w:t>
            </w:r>
          </w:p>
          <w:p w14:paraId="56A68C32">
            <w:pPr>
              <w:pStyle w:val="8"/>
              <w:keepNext w:val="0"/>
              <w:keepLines w:val="0"/>
              <w:widowControl/>
              <w:suppressLineNumbers w:val="0"/>
              <w:spacing w:before="0" w:beforeAutospacing="0" w:after="0" w:afterAutospacing="0" w:line="440" w:lineRule="exact"/>
              <w:ind w:left="0" w:leftChars="0" w:right="0" w:firstLine="420" w:firstLineChars="200"/>
              <w:jc w:val="both"/>
              <w:rPr>
                <w:rFonts w:hint="default" w:ascii="宋体" w:hAnsi="宋体" w:eastAsia="宋体" w:cs="宋体"/>
                <w:i w:val="0"/>
                <w:kern w:val="2"/>
                <w:sz w:val="21"/>
                <w:szCs w:val="21"/>
                <w:highlight w:val="yellow"/>
                <w:lang w:eastAsia="zh-CN" w:bidi="ar"/>
                <w:woUserID w:val="1"/>
              </w:rPr>
            </w:pPr>
          </w:p>
          <w:p w14:paraId="7CBAACCE">
            <w:pPr>
              <w:spacing w:line="440" w:lineRule="exact"/>
              <w:ind w:firstLine="420" w:firstLineChars="200"/>
              <w:rPr>
                <w:rFonts w:hint="default" w:ascii="宋体" w:hAnsi="宋体" w:cs="宋体"/>
                <w:color w:val="auto"/>
                <w:sz w:val="21"/>
                <w:szCs w:val="21"/>
                <w:highlight w:val="none"/>
                <w:woUserID w:val="1"/>
              </w:rPr>
            </w:pPr>
          </w:p>
        </w:tc>
      </w:tr>
    </w:tbl>
    <w:p w14:paraId="4A4829FB">
      <w:pPr>
        <w:tabs>
          <w:tab w:val="left" w:pos="910"/>
        </w:tabs>
        <w:spacing w:line="400" w:lineRule="exact"/>
        <w:ind w:right="315"/>
        <w:jc w:val="both"/>
        <w:rPr>
          <w:rFonts w:hint="eastAsia" w:eastAsia="宋体"/>
          <w:lang w:eastAsia="zh-CN"/>
        </w:rPr>
      </w:pPr>
    </w:p>
    <w:sectPr>
      <w:headerReference r:id="rId3" w:type="default"/>
      <w:footerReference r:id="rId4" w:type="default"/>
      <w:footerReference r:id="rId5" w:type="even"/>
      <w:pgSz w:w="11906" w:h="16838"/>
      <w:pgMar w:top="1418" w:right="1418"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C2F3C">
    <w:pPr>
      <w:pStyle w:val="6"/>
      <w:framePr w:wrap="around" w:vAnchor="text" w:hAnchor="page" w:x="5830" w:y="9"/>
      <w:rPr>
        <w:rStyle w:val="12"/>
        <w:sz w:val="21"/>
        <w:szCs w:val="21"/>
      </w:rPr>
    </w:pPr>
    <w:r>
      <w:rPr>
        <w:sz w:val="21"/>
        <w:szCs w:val="21"/>
      </w:rPr>
      <w:fldChar w:fldCharType="begin"/>
    </w:r>
    <w:r>
      <w:rPr>
        <w:rStyle w:val="12"/>
        <w:sz w:val="21"/>
        <w:szCs w:val="21"/>
      </w:rPr>
      <w:instrText xml:space="preserve">PAGE  </w:instrText>
    </w:r>
    <w:r>
      <w:rPr>
        <w:sz w:val="21"/>
        <w:szCs w:val="21"/>
      </w:rPr>
      <w:fldChar w:fldCharType="separate"/>
    </w:r>
    <w:r>
      <w:rPr>
        <w:rStyle w:val="12"/>
        <w:sz w:val="21"/>
        <w:szCs w:val="21"/>
      </w:rPr>
      <w:t>7</w:t>
    </w:r>
    <w:r>
      <w:rPr>
        <w:sz w:val="21"/>
        <w:szCs w:val="21"/>
      </w:rPr>
      <w:fldChar w:fldCharType="end"/>
    </w:r>
  </w:p>
  <w:p w14:paraId="30B35EB1">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9FB6">
    <w:pPr>
      <w:pStyle w:val="6"/>
      <w:framePr w:wrap="around" w:vAnchor="text" w:hAnchor="margin" w:xAlign="center" w:y="1"/>
      <w:rPr>
        <w:rStyle w:val="12"/>
      </w:rPr>
    </w:pPr>
    <w:r>
      <w:fldChar w:fldCharType="begin"/>
    </w:r>
    <w:r>
      <w:rPr>
        <w:rStyle w:val="12"/>
      </w:rPr>
      <w:instrText xml:space="preserve">PAGE  </w:instrText>
    </w:r>
    <w:r>
      <w:fldChar w:fldCharType="end"/>
    </w:r>
  </w:p>
  <w:p w14:paraId="498522E0">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977E">
    <w:pPr>
      <w:pStyle w:val="7"/>
      <w:pBdr>
        <w:bottom w:val="none" w:color="auto" w:sz="0" w:space="0"/>
      </w:pBdr>
      <w:jc w:val="both"/>
      <w:rPr>
        <w:sz w:val="36"/>
        <w:szCs w:val="36"/>
      </w:rPr>
    </w:pPr>
  </w:p>
  <w:p w14:paraId="76099025">
    <w:pPr>
      <w:pStyle w:val="7"/>
      <w:pBdr>
        <w:bottom w:val="none" w:color="auto" w:sz="0" w:space="0"/>
      </w:pBdr>
      <w:rPr>
        <w:rFonts w:ascii="黑体" w:eastAsia="黑体"/>
        <w:sz w:val="36"/>
        <w:szCs w:val="36"/>
      </w:rPr>
    </w:pPr>
    <w:r>
      <w:rPr>
        <w:rFonts w:hint="eastAsia" w:ascii="黑体" w:eastAsia="黑体"/>
        <w:sz w:val="36"/>
        <w:szCs w:val="36"/>
      </w:rPr>
      <w:t>工程量清单编制说明</w:t>
    </w:r>
  </w:p>
  <w:p w14:paraId="1325D89C">
    <w:pPr>
      <w:pStyle w:val="7"/>
      <w:pBdr>
        <w:bottom w:val="none" w:color="auto" w:sz="0" w:space="0"/>
      </w:pBdr>
      <w:jc w:val="left"/>
      <w:rPr>
        <w:sz w:val="21"/>
        <w:szCs w:val="21"/>
      </w:rPr>
    </w:pPr>
    <w:r>
      <w:rPr>
        <w:rFonts w:hint="eastAsia"/>
        <w:sz w:val="21"/>
        <w:szCs w:val="21"/>
      </w:rPr>
      <w:t>工</w:t>
    </w:r>
    <w:r>
      <w:rPr>
        <w:rFonts w:hint="eastAsia"/>
        <w:color w:val="auto"/>
        <w:sz w:val="21"/>
        <w:szCs w:val="21"/>
      </w:rPr>
      <w:t>程名称：</w:t>
    </w:r>
    <w:r>
      <w:rPr>
        <w:rFonts w:hint="default" w:ascii="Times New Roman" w:hAnsi="Times New Roman" w:eastAsia="宋体" w:cs="Times New Roman"/>
        <w:b w:val="0"/>
        <w:color w:val="000000"/>
        <w:spacing w:val="0"/>
        <w:kern w:val="2"/>
        <w:sz w:val="21"/>
        <w:szCs w:val="21"/>
        <w:lang w:val="zh-CN" w:eastAsia="zh-CN" w:bidi="ar-SA"/>
      </w:rPr>
      <w:t>舟山市普陀2#海上风电场项目陆上集控中心四通一平项目</w:t>
    </w:r>
    <w:r>
      <w:rPr>
        <w:rFonts w:hint="eastAsia"/>
        <w:color w:val="auto"/>
        <w:sz w:val="21"/>
        <w:szCs w:val="21"/>
      </w:rPr>
      <w:t xml:space="preserve">  </w:t>
    </w:r>
    <w:r>
      <w:rPr>
        <w:rFonts w:hint="eastAsia"/>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ZjU4OWZmNDZkN2Q0ZmIyN2Q0YTAwMzk4N2VlYzYifQ=="/>
  </w:docVars>
  <w:rsids>
    <w:rsidRoot w:val="00172A27"/>
    <w:rsid w:val="00000F35"/>
    <w:rsid w:val="00001A82"/>
    <w:rsid w:val="00006299"/>
    <w:rsid w:val="00007700"/>
    <w:rsid w:val="00013B2E"/>
    <w:rsid w:val="00014201"/>
    <w:rsid w:val="00014661"/>
    <w:rsid w:val="00017101"/>
    <w:rsid w:val="00022709"/>
    <w:rsid w:val="0003126B"/>
    <w:rsid w:val="0003774F"/>
    <w:rsid w:val="0004260D"/>
    <w:rsid w:val="0006147E"/>
    <w:rsid w:val="00064A7E"/>
    <w:rsid w:val="00067EE2"/>
    <w:rsid w:val="00077C1C"/>
    <w:rsid w:val="00077D4A"/>
    <w:rsid w:val="00082030"/>
    <w:rsid w:val="0008314F"/>
    <w:rsid w:val="000845F0"/>
    <w:rsid w:val="000860FC"/>
    <w:rsid w:val="00091FD9"/>
    <w:rsid w:val="000943D8"/>
    <w:rsid w:val="0009441F"/>
    <w:rsid w:val="000948D1"/>
    <w:rsid w:val="000953BD"/>
    <w:rsid w:val="00096F67"/>
    <w:rsid w:val="000A26EE"/>
    <w:rsid w:val="000A3DE5"/>
    <w:rsid w:val="000A5991"/>
    <w:rsid w:val="000A7349"/>
    <w:rsid w:val="000B4A61"/>
    <w:rsid w:val="000B79DE"/>
    <w:rsid w:val="000C7BF9"/>
    <w:rsid w:val="000D2956"/>
    <w:rsid w:val="000D48EF"/>
    <w:rsid w:val="000D515E"/>
    <w:rsid w:val="000E6E22"/>
    <w:rsid w:val="000F3921"/>
    <w:rsid w:val="000F7AB8"/>
    <w:rsid w:val="00102C9D"/>
    <w:rsid w:val="001043F5"/>
    <w:rsid w:val="00106138"/>
    <w:rsid w:val="001103D6"/>
    <w:rsid w:val="00115C62"/>
    <w:rsid w:val="00115E43"/>
    <w:rsid w:val="00123764"/>
    <w:rsid w:val="001252EE"/>
    <w:rsid w:val="00126892"/>
    <w:rsid w:val="001326EA"/>
    <w:rsid w:val="00133766"/>
    <w:rsid w:val="00144413"/>
    <w:rsid w:val="0014495C"/>
    <w:rsid w:val="001449BD"/>
    <w:rsid w:val="001466C8"/>
    <w:rsid w:val="001510D3"/>
    <w:rsid w:val="00152BD9"/>
    <w:rsid w:val="00163E55"/>
    <w:rsid w:val="0016680D"/>
    <w:rsid w:val="00167D16"/>
    <w:rsid w:val="00170D2A"/>
    <w:rsid w:val="00172A27"/>
    <w:rsid w:val="00174379"/>
    <w:rsid w:val="00174597"/>
    <w:rsid w:val="001828FE"/>
    <w:rsid w:val="00195317"/>
    <w:rsid w:val="00195A59"/>
    <w:rsid w:val="00196A67"/>
    <w:rsid w:val="00197060"/>
    <w:rsid w:val="001A0383"/>
    <w:rsid w:val="001A4215"/>
    <w:rsid w:val="001A5E9D"/>
    <w:rsid w:val="001A6500"/>
    <w:rsid w:val="001B0EC0"/>
    <w:rsid w:val="001B3962"/>
    <w:rsid w:val="001B77F5"/>
    <w:rsid w:val="001C189A"/>
    <w:rsid w:val="001C2217"/>
    <w:rsid w:val="001D749F"/>
    <w:rsid w:val="001D75BD"/>
    <w:rsid w:val="001E16D1"/>
    <w:rsid w:val="001E199B"/>
    <w:rsid w:val="001E70C2"/>
    <w:rsid w:val="001F0AB1"/>
    <w:rsid w:val="001F386D"/>
    <w:rsid w:val="00205CFE"/>
    <w:rsid w:val="00207960"/>
    <w:rsid w:val="00212022"/>
    <w:rsid w:val="00213E07"/>
    <w:rsid w:val="0021539C"/>
    <w:rsid w:val="00216249"/>
    <w:rsid w:val="00221940"/>
    <w:rsid w:val="002226CD"/>
    <w:rsid w:val="002230A9"/>
    <w:rsid w:val="00223A70"/>
    <w:rsid w:val="00227558"/>
    <w:rsid w:val="00231BAF"/>
    <w:rsid w:val="00232429"/>
    <w:rsid w:val="002338B0"/>
    <w:rsid w:val="0023409A"/>
    <w:rsid w:val="00242552"/>
    <w:rsid w:val="002427D6"/>
    <w:rsid w:val="00245EE5"/>
    <w:rsid w:val="00252E4E"/>
    <w:rsid w:val="00257D32"/>
    <w:rsid w:val="002644D5"/>
    <w:rsid w:val="00271B7D"/>
    <w:rsid w:val="00275441"/>
    <w:rsid w:val="002863B1"/>
    <w:rsid w:val="00287925"/>
    <w:rsid w:val="002A301B"/>
    <w:rsid w:val="002A7651"/>
    <w:rsid w:val="002B4327"/>
    <w:rsid w:val="002B5B7F"/>
    <w:rsid w:val="002C03D3"/>
    <w:rsid w:val="002C53C5"/>
    <w:rsid w:val="002D01E6"/>
    <w:rsid w:val="002D5306"/>
    <w:rsid w:val="002E2486"/>
    <w:rsid w:val="002E3B20"/>
    <w:rsid w:val="002E5F4F"/>
    <w:rsid w:val="002F0431"/>
    <w:rsid w:val="002F0CD4"/>
    <w:rsid w:val="002F17C3"/>
    <w:rsid w:val="002F768E"/>
    <w:rsid w:val="003047FC"/>
    <w:rsid w:val="003068DE"/>
    <w:rsid w:val="00312E23"/>
    <w:rsid w:val="00316033"/>
    <w:rsid w:val="00321037"/>
    <w:rsid w:val="003221E9"/>
    <w:rsid w:val="00322E3B"/>
    <w:rsid w:val="0033069A"/>
    <w:rsid w:val="00331B3E"/>
    <w:rsid w:val="00332803"/>
    <w:rsid w:val="003400AB"/>
    <w:rsid w:val="003455E2"/>
    <w:rsid w:val="0035340D"/>
    <w:rsid w:val="003541EC"/>
    <w:rsid w:val="003653DD"/>
    <w:rsid w:val="00366238"/>
    <w:rsid w:val="003753F7"/>
    <w:rsid w:val="0037610E"/>
    <w:rsid w:val="00380269"/>
    <w:rsid w:val="00383E45"/>
    <w:rsid w:val="003842DE"/>
    <w:rsid w:val="00384BDE"/>
    <w:rsid w:val="00386E2A"/>
    <w:rsid w:val="00394D56"/>
    <w:rsid w:val="00395C89"/>
    <w:rsid w:val="003A0F1D"/>
    <w:rsid w:val="003A52BF"/>
    <w:rsid w:val="003B0671"/>
    <w:rsid w:val="003B3313"/>
    <w:rsid w:val="003B3BEA"/>
    <w:rsid w:val="003B7923"/>
    <w:rsid w:val="003C6AC1"/>
    <w:rsid w:val="003C73B0"/>
    <w:rsid w:val="003D2DD9"/>
    <w:rsid w:val="003D6DEF"/>
    <w:rsid w:val="003E2159"/>
    <w:rsid w:val="003E305D"/>
    <w:rsid w:val="003E32B3"/>
    <w:rsid w:val="003E55C6"/>
    <w:rsid w:val="003E58A6"/>
    <w:rsid w:val="003E76FA"/>
    <w:rsid w:val="003F0E52"/>
    <w:rsid w:val="003F1F3A"/>
    <w:rsid w:val="003F2569"/>
    <w:rsid w:val="003F5C12"/>
    <w:rsid w:val="004022FB"/>
    <w:rsid w:val="00402EBD"/>
    <w:rsid w:val="004042E6"/>
    <w:rsid w:val="00405DA9"/>
    <w:rsid w:val="004061FA"/>
    <w:rsid w:val="00406E2C"/>
    <w:rsid w:val="00410009"/>
    <w:rsid w:val="00416293"/>
    <w:rsid w:val="004168E0"/>
    <w:rsid w:val="004202B2"/>
    <w:rsid w:val="0042381B"/>
    <w:rsid w:val="004256D1"/>
    <w:rsid w:val="00426715"/>
    <w:rsid w:val="00431B4C"/>
    <w:rsid w:val="004346F4"/>
    <w:rsid w:val="004356F8"/>
    <w:rsid w:val="0043651A"/>
    <w:rsid w:val="00440EFB"/>
    <w:rsid w:val="00451FD8"/>
    <w:rsid w:val="00452D94"/>
    <w:rsid w:val="004544CB"/>
    <w:rsid w:val="0045450E"/>
    <w:rsid w:val="00464B08"/>
    <w:rsid w:val="00470B79"/>
    <w:rsid w:val="00476029"/>
    <w:rsid w:val="004829A7"/>
    <w:rsid w:val="00483EDB"/>
    <w:rsid w:val="00484125"/>
    <w:rsid w:val="00487FFE"/>
    <w:rsid w:val="004A1973"/>
    <w:rsid w:val="004B7F55"/>
    <w:rsid w:val="004C3D87"/>
    <w:rsid w:val="004C5940"/>
    <w:rsid w:val="004D0804"/>
    <w:rsid w:val="004D106C"/>
    <w:rsid w:val="004D3F2A"/>
    <w:rsid w:val="004D4F8E"/>
    <w:rsid w:val="004D6E6A"/>
    <w:rsid w:val="004E0B17"/>
    <w:rsid w:val="004E1199"/>
    <w:rsid w:val="004E466D"/>
    <w:rsid w:val="004E6F92"/>
    <w:rsid w:val="004F1180"/>
    <w:rsid w:val="004F27AD"/>
    <w:rsid w:val="00505C0A"/>
    <w:rsid w:val="00507E15"/>
    <w:rsid w:val="00512D6C"/>
    <w:rsid w:val="005207CC"/>
    <w:rsid w:val="00525CED"/>
    <w:rsid w:val="005321E1"/>
    <w:rsid w:val="00532890"/>
    <w:rsid w:val="00534F89"/>
    <w:rsid w:val="00537A5F"/>
    <w:rsid w:val="00552DE7"/>
    <w:rsid w:val="005550E1"/>
    <w:rsid w:val="00557654"/>
    <w:rsid w:val="0056008B"/>
    <w:rsid w:val="0056125C"/>
    <w:rsid w:val="0056214A"/>
    <w:rsid w:val="005623A2"/>
    <w:rsid w:val="00565A97"/>
    <w:rsid w:val="00571BFD"/>
    <w:rsid w:val="005742AD"/>
    <w:rsid w:val="00575A1A"/>
    <w:rsid w:val="00577EC4"/>
    <w:rsid w:val="00581BAA"/>
    <w:rsid w:val="00590669"/>
    <w:rsid w:val="005A2E8A"/>
    <w:rsid w:val="005A3DBC"/>
    <w:rsid w:val="005A57F3"/>
    <w:rsid w:val="005B058A"/>
    <w:rsid w:val="005B1098"/>
    <w:rsid w:val="005B2875"/>
    <w:rsid w:val="005B336A"/>
    <w:rsid w:val="005C15C2"/>
    <w:rsid w:val="005C34D3"/>
    <w:rsid w:val="005C3F3E"/>
    <w:rsid w:val="005C52CB"/>
    <w:rsid w:val="005C7E67"/>
    <w:rsid w:val="005D2477"/>
    <w:rsid w:val="005D2873"/>
    <w:rsid w:val="005D6753"/>
    <w:rsid w:val="005D7556"/>
    <w:rsid w:val="005E071A"/>
    <w:rsid w:val="005E6E74"/>
    <w:rsid w:val="005F34A6"/>
    <w:rsid w:val="005F6FAD"/>
    <w:rsid w:val="00600216"/>
    <w:rsid w:val="006017AE"/>
    <w:rsid w:val="00602D7C"/>
    <w:rsid w:val="00607442"/>
    <w:rsid w:val="0061532F"/>
    <w:rsid w:val="00615CD3"/>
    <w:rsid w:val="00616B6B"/>
    <w:rsid w:val="006265E0"/>
    <w:rsid w:val="00635211"/>
    <w:rsid w:val="0063726E"/>
    <w:rsid w:val="00646097"/>
    <w:rsid w:val="006473FE"/>
    <w:rsid w:val="00647A87"/>
    <w:rsid w:val="0065742C"/>
    <w:rsid w:val="00661596"/>
    <w:rsid w:val="006630C1"/>
    <w:rsid w:val="00664D69"/>
    <w:rsid w:val="00670F7D"/>
    <w:rsid w:val="00673A81"/>
    <w:rsid w:val="00674601"/>
    <w:rsid w:val="0068158D"/>
    <w:rsid w:val="00683552"/>
    <w:rsid w:val="00684A9C"/>
    <w:rsid w:val="00685D98"/>
    <w:rsid w:val="00687E42"/>
    <w:rsid w:val="00691BE6"/>
    <w:rsid w:val="0069415F"/>
    <w:rsid w:val="006A06AC"/>
    <w:rsid w:val="006A5278"/>
    <w:rsid w:val="006A560D"/>
    <w:rsid w:val="006A6169"/>
    <w:rsid w:val="006C3E55"/>
    <w:rsid w:val="006D11AE"/>
    <w:rsid w:val="006D1D50"/>
    <w:rsid w:val="006D6472"/>
    <w:rsid w:val="006D6528"/>
    <w:rsid w:val="006D6E0A"/>
    <w:rsid w:val="006E33B7"/>
    <w:rsid w:val="006E4639"/>
    <w:rsid w:val="0070065E"/>
    <w:rsid w:val="00702497"/>
    <w:rsid w:val="00702620"/>
    <w:rsid w:val="007032BD"/>
    <w:rsid w:val="0070777C"/>
    <w:rsid w:val="00715685"/>
    <w:rsid w:val="00715CB5"/>
    <w:rsid w:val="00727C22"/>
    <w:rsid w:val="00741A58"/>
    <w:rsid w:val="00743DDE"/>
    <w:rsid w:val="00746F3F"/>
    <w:rsid w:val="007476DD"/>
    <w:rsid w:val="00752917"/>
    <w:rsid w:val="007657FB"/>
    <w:rsid w:val="0077044A"/>
    <w:rsid w:val="00770D46"/>
    <w:rsid w:val="0077460F"/>
    <w:rsid w:val="00777E16"/>
    <w:rsid w:val="00781FB7"/>
    <w:rsid w:val="007827F0"/>
    <w:rsid w:val="00785B03"/>
    <w:rsid w:val="00786464"/>
    <w:rsid w:val="0079133D"/>
    <w:rsid w:val="00791E83"/>
    <w:rsid w:val="007920F2"/>
    <w:rsid w:val="00794317"/>
    <w:rsid w:val="00795110"/>
    <w:rsid w:val="007977A1"/>
    <w:rsid w:val="007A3D53"/>
    <w:rsid w:val="007A4EF7"/>
    <w:rsid w:val="007B434B"/>
    <w:rsid w:val="007B465E"/>
    <w:rsid w:val="007B5BD1"/>
    <w:rsid w:val="007C1611"/>
    <w:rsid w:val="007C1915"/>
    <w:rsid w:val="007C29E7"/>
    <w:rsid w:val="007C507B"/>
    <w:rsid w:val="007C7370"/>
    <w:rsid w:val="007C7967"/>
    <w:rsid w:val="007D1344"/>
    <w:rsid w:val="007D3C1D"/>
    <w:rsid w:val="007E6975"/>
    <w:rsid w:val="007F25A3"/>
    <w:rsid w:val="007F7187"/>
    <w:rsid w:val="00800242"/>
    <w:rsid w:val="008119C4"/>
    <w:rsid w:val="008125E2"/>
    <w:rsid w:val="008126EE"/>
    <w:rsid w:val="00813186"/>
    <w:rsid w:val="0082351B"/>
    <w:rsid w:val="00830515"/>
    <w:rsid w:val="00830DA6"/>
    <w:rsid w:val="00833454"/>
    <w:rsid w:val="0083586A"/>
    <w:rsid w:val="00835E82"/>
    <w:rsid w:val="0083724D"/>
    <w:rsid w:val="00843012"/>
    <w:rsid w:val="0084530A"/>
    <w:rsid w:val="00846494"/>
    <w:rsid w:val="00850737"/>
    <w:rsid w:val="00853A57"/>
    <w:rsid w:val="008637EF"/>
    <w:rsid w:val="00864F54"/>
    <w:rsid w:val="0086621A"/>
    <w:rsid w:val="00866B21"/>
    <w:rsid w:val="008678A9"/>
    <w:rsid w:val="0087250F"/>
    <w:rsid w:val="00876725"/>
    <w:rsid w:val="0088013F"/>
    <w:rsid w:val="00883F58"/>
    <w:rsid w:val="00884B7E"/>
    <w:rsid w:val="0088636E"/>
    <w:rsid w:val="0089109A"/>
    <w:rsid w:val="0089291A"/>
    <w:rsid w:val="008A5503"/>
    <w:rsid w:val="008B0125"/>
    <w:rsid w:val="008B0412"/>
    <w:rsid w:val="008B08A7"/>
    <w:rsid w:val="008B574C"/>
    <w:rsid w:val="008B69E6"/>
    <w:rsid w:val="008C0197"/>
    <w:rsid w:val="008C1AEA"/>
    <w:rsid w:val="008C205B"/>
    <w:rsid w:val="008C2736"/>
    <w:rsid w:val="008D24AF"/>
    <w:rsid w:val="008D48FC"/>
    <w:rsid w:val="008E134F"/>
    <w:rsid w:val="008E20C3"/>
    <w:rsid w:val="008E32E9"/>
    <w:rsid w:val="008E6FDC"/>
    <w:rsid w:val="008F529B"/>
    <w:rsid w:val="008F5E4B"/>
    <w:rsid w:val="008F7D28"/>
    <w:rsid w:val="00912106"/>
    <w:rsid w:val="00915905"/>
    <w:rsid w:val="00925622"/>
    <w:rsid w:val="0092728F"/>
    <w:rsid w:val="0092784D"/>
    <w:rsid w:val="009278D9"/>
    <w:rsid w:val="00931D9D"/>
    <w:rsid w:val="0093319A"/>
    <w:rsid w:val="0094220E"/>
    <w:rsid w:val="009570EF"/>
    <w:rsid w:val="009571D3"/>
    <w:rsid w:val="00961855"/>
    <w:rsid w:val="009672BD"/>
    <w:rsid w:val="00967FC2"/>
    <w:rsid w:val="00970E9C"/>
    <w:rsid w:val="009846E5"/>
    <w:rsid w:val="00987629"/>
    <w:rsid w:val="00991F19"/>
    <w:rsid w:val="0099489F"/>
    <w:rsid w:val="009A7BF4"/>
    <w:rsid w:val="009B0AF1"/>
    <w:rsid w:val="009B5AA6"/>
    <w:rsid w:val="009C14A2"/>
    <w:rsid w:val="009C283F"/>
    <w:rsid w:val="009C525C"/>
    <w:rsid w:val="009C6C40"/>
    <w:rsid w:val="009D030D"/>
    <w:rsid w:val="009D2E5C"/>
    <w:rsid w:val="009D5403"/>
    <w:rsid w:val="009D74BA"/>
    <w:rsid w:val="009E46C7"/>
    <w:rsid w:val="009E6AF0"/>
    <w:rsid w:val="009F42B0"/>
    <w:rsid w:val="009F4B90"/>
    <w:rsid w:val="00A02769"/>
    <w:rsid w:val="00A04BB4"/>
    <w:rsid w:val="00A1083E"/>
    <w:rsid w:val="00A12F67"/>
    <w:rsid w:val="00A15CFD"/>
    <w:rsid w:val="00A24390"/>
    <w:rsid w:val="00A32938"/>
    <w:rsid w:val="00A33723"/>
    <w:rsid w:val="00A34CC9"/>
    <w:rsid w:val="00A404A7"/>
    <w:rsid w:val="00A40553"/>
    <w:rsid w:val="00A4776B"/>
    <w:rsid w:val="00A5226B"/>
    <w:rsid w:val="00A534A7"/>
    <w:rsid w:val="00A53657"/>
    <w:rsid w:val="00A538FB"/>
    <w:rsid w:val="00A55C90"/>
    <w:rsid w:val="00A61A76"/>
    <w:rsid w:val="00A651D7"/>
    <w:rsid w:val="00A70915"/>
    <w:rsid w:val="00A71ECB"/>
    <w:rsid w:val="00A73126"/>
    <w:rsid w:val="00AA1502"/>
    <w:rsid w:val="00AA43B0"/>
    <w:rsid w:val="00AA4DD2"/>
    <w:rsid w:val="00AA5158"/>
    <w:rsid w:val="00AB1BEF"/>
    <w:rsid w:val="00AB3CE8"/>
    <w:rsid w:val="00AB3DE1"/>
    <w:rsid w:val="00AB7E8A"/>
    <w:rsid w:val="00AC450B"/>
    <w:rsid w:val="00AC6A45"/>
    <w:rsid w:val="00AD1B6C"/>
    <w:rsid w:val="00AE00D5"/>
    <w:rsid w:val="00AE27CA"/>
    <w:rsid w:val="00AF124A"/>
    <w:rsid w:val="00AF23C9"/>
    <w:rsid w:val="00AF26CA"/>
    <w:rsid w:val="00AF4229"/>
    <w:rsid w:val="00AF6418"/>
    <w:rsid w:val="00AF7CD6"/>
    <w:rsid w:val="00B013F9"/>
    <w:rsid w:val="00B0583F"/>
    <w:rsid w:val="00B15FB5"/>
    <w:rsid w:val="00B26EFD"/>
    <w:rsid w:val="00B414C0"/>
    <w:rsid w:val="00B445E0"/>
    <w:rsid w:val="00B512EF"/>
    <w:rsid w:val="00B51A58"/>
    <w:rsid w:val="00B60496"/>
    <w:rsid w:val="00B63A0A"/>
    <w:rsid w:val="00B64CDA"/>
    <w:rsid w:val="00B67603"/>
    <w:rsid w:val="00B7079D"/>
    <w:rsid w:val="00B72941"/>
    <w:rsid w:val="00B72FDE"/>
    <w:rsid w:val="00B74723"/>
    <w:rsid w:val="00B775A0"/>
    <w:rsid w:val="00B836CD"/>
    <w:rsid w:val="00B90177"/>
    <w:rsid w:val="00B90D5E"/>
    <w:rsid w:val="00B92E40"/>
    <w:rsid w:val="00BA431B"/>
    <w:rsid w:val="00BA53E4"/>
    <w:rsid w:val="00BA79AE"/>
    <w:rsid w:val="00BB0C81"/>
    <w:rsid w:val="00BB5BE5"/>
    <w:rsid w:val="00BB644E"/>
    <w:rsid w:val="00BB67C4"/>
    <w:rsid w:val="00BC07D8"/>
    <w:rsid w:val="00BC2E41"/>
    <w:rsid w:val="00BC46C9"/>
    <w:rsid w:val="00BC5FD2"/>
    <w:rsid w:val="00BC63FB"/>
    <w:rsid w:val="00BC6597"/>
    <w:rsid w:val="00BC6B38"/>
    <w:rsid w:val="00BD29B2"/>
    <w:rsid w:val="00BD69AA"/>
    <w:rsid w:val="00BD69BE"/>
    <w:rsid w:val="00BE05C5"/>
    <w:rsid w:val="00BE5B36"/>
    <w:rsid w:val="00BE69B4"/>
    <w:rsid w:val="00BE6D95"/>
    <w:rsid w:val="00BE732B"/>
    <w:rsid w:val="00BE7B7B"/>
    <w:rsid w:val="00BF1A53"/>
    <w:rsid w:val="00BF27A5"/>
    <w:rsid w:val="00C02A1C"/>
    <w:rsid w:val="00C110C9"/>
    <w:rsid w:val="00C22D06"/>
    <w:rsid w:val="00C25505"/>
    <w:rsid w:val="00C26A47"/>
    <w:rsid w:val="00C31E5C"/>
    <w:rsid w:val="00C32633"/>
    <w:rsid w:val="00C35BB3"/>
    <w:rsid w:val="00C37679"/>
    <w:rsid w:val="00C37760"/>
    <w:rsid w:val="00C46204"/>
    <w:rsid w:val="00C50FE7"/>
    <w:rsid w:val="00C5202B"/>
    <w:rsid w:val="00C53384"/>
    <w:rsid w:val="00C53533"/>
    <w:rsid w:val="00C564E5"/>
    <w:rsid w:val="00C63F49"/>
    <w:rsid w:val="00C70817"/>
    <w:rsid w:val="00C75D8B"/>
    <w:rsid w:val="00C75E70"/>
    <w:rsid w:val="00C80C1A"/>
    <w:rsid w:val="00C83961"/>
    <w:rsid w:val="00C84B2A"/>
    <w:rsid w:val="00C90D0F"/>
    <w:rsid w:val="00C92C87"/>
    <w:rsid w:val="00C93D48"/>
    <w:rsid w:val="00C95317"/>
    <w:rsid w:val="00C95627"/>
    <w:rsid w:val="00C9591B"/>
    <w:rsid w:val="00C97593"/>
    <w:rsid w:val="00CA45ED"/>
    <w:rsid w:val="00CA5AEB"/>
    <w:rsid w:val="00CA5BDA"/>
    <w:rsid w:val="00CB25E1"/>
    <w:rsid w:val="00CB5565"/>
    <w:rsid w:val="00CB6ECB"/>
    <w:rsid w:val="00CC2588"/>
    <w:rsid w:val="00CC2BAB"/>
    <w:rsid w:val="00CC4960"/>
    <w:rsid w:val="00CC65D6"/>
    <w:rsid w:val="00CC69E6"/>
    <w:rsid w:val="00CC6BB0"/>
    <w:rsid w:val="00CD3EDA"/>
    <w:rsid w:val="00CD40B7"/>
    <w:rsid w:val="00CD464D"/>
    <w:rsid w:val="00CD589B"/>
    <w:rsid w:val="00CD77A5"/>
    <w:rsid w:val="00CE2979"/>
    <w:rsid w:val="00CF030A"/>
    <w:rsid w:val="00CF296C"/>
    <w:rsid w:val="00CF3A8D"/>
    <w:rsid w:val="00CF4324"/>
    <w:rsid w:val="00D03535"/>
    <w:rsid w:val="00D06BFD"/>
    <w:rsid w:val="00D079F4"/>
    <w:rsid w:val="00D11CC2"/>
    <w:rsid w:val="00D13ECC"/>
    <w:rsid w:val="00D1511C"/>
    <w:rsid w:val="00D15443"/>
    <w:rsid w:val="00D16CAC"/>
    <w:rsid w:val="00D16E04"/>
    <w:rsid w:val="00D21903"/>
    <w:rsid w:val="00D21C0E"/>
    <w:rsid w:val="00D2330A"/>
    <w:rsid w:val="00D25F1C"/>
    <w:rsid w:val="00D33266"/>
    <w:rsid w:val="00D341DA"/>
    <w:rsid w:val="00D37499"/>
    <w:rsid w:val="00D419A5"/>
    <w:rsid w:val="00D4535A"/>
    <w:rsid w:val="00D51743"/>
    <w:rsid w:val="00D51DE3"/>
    <w:rsid w:val="00D654A9"/>
    <w:rsid w:val="00D70150"/>
    <w:rsid w:val="00D75184"/>
    <w:rsid w:val="00D753A7"/>
    <w:rsid w:val="00D82E47"/>
    <w:rsid w:val="00D84A2B"/>
    <w:rsid w:val="00D92482"/>
    <w:rsid w:val="00D93850"/>
    <w:rsid w:val="00D95160"/>
    <w:rsid w:val="00D970C0"/>
    <w:rsid w:val="00DA0230"/>
    <w:rsid w:val="00DA1848"/>
    <w:rsid w:val="00DA34B8"/>
    <w:rsid w:val="00DB21FD"/>
    <w:rsid w:val="00DB2F04"/>
    <w:rsid w:val="00DB77B0"/>
    <w:rsid w:val="00DC1EBC"/>
    <w:rsid w:val="00DC386B"/>
    <w:rsid w:val="00DC5B40"/>
    <w:rsid w:val="00DC603E"/>
    <w:rsid w:val="00DC6961"/>
    <w:rsid w:val="00DD7A0F"/>
    <w:rsid w:val="00DE3566"/>
    <w:rsid w:val="00DE364D"/>
    <w:rsid w:val="00DE4598"/>
    <w:rsid w:val="00DF06D6"/>
    <w:rsid w:val="00DF6A7A"/>
    <w:rsid w:val="00E00E9C"/>
    <w:rsid w:val="00E05674"/>
    <w:rsid w:val="00E0576E"/>
    <w:rsid w:val="00E312FD"/>
    <w:rsid w:val="00E31B03"/>
    <w:rsid w:val="00E33399"/>
    <w:rsid w:val="00E35EF8"/>
    <w:rsid w:val="00E41B7C"/>
    <w:rsid w:val="00E4241C"/>
    <w:rsid w:val="00E531F2"/>
    <w:rsid w:val="00E542C5"/>
    <w:rsid w:val="00E605EA"/>
    <w:rsid w:val="00E6489C"/>
    <w:rsid w:val="00E64F65"/>
    <w:rsid w:val="00E6629C"/>
    <w:rsid w:val="00E66F7F"/>
    <w:rsid w:val="00E6731A"/>
    <w:rsid w:val="00E71A49"/>
    <w:rsid w:val="00E7391B"/>
    <w:rsid w:val="00E74E20"/>
    <w:rsid w:val="00E80D08"/>
    <w:rsid w:val="00E81FCF"/>
    <w:rsid w:val="00E82174"/>
    <w:rsid w:val="00E844BE"/>
    <w:rsid w:val="00E85B0E"/>
    <w:rsid w:val="00E8741C"/>
    <w:rsid w:val="00E87CD4"/>
    <w:rsid w:val="00E90E6B"/>
    <w:rsid w:val="00E9114E"/>
    <w:rsid w:val="00E91E61"/>
    <w:rsid w:val="00E95299"/>
    <w:rsid w:val="00EA1462"/>
    <w:rsid w:val="00EA19B4"/>
    <w:rsid w:val="00EA77CD"/>
    <w:rsid w:val="00EB1908"/>
    <w:rsid w:val="00EB3EAA"/>
    <w:rsid w:val="00EB45B2"/>
    <w:rsid w:val="00EB735D"/>
    <w:rsid w:val="00EC094F"/>
    <w:rsid w:val="00EC0A60"/>
    <w:rsid w:val="00EC14B4"/>
    <w:rsid w:val="00EC7005"/>
    <w:rsid w:val="00ED1FDB"/>
    <w:rsid w:val="00ED306B"/>
    <w:rsid w:val="00ED45F1"/>
    <w:rsid w:val="00ED5D01"/>
    <w:rsid w:val="00ED70D2"/>
    <w:rsid w:val="00EE338C"/>
    <w:rsid w:val="00EE6D8E"/>
    <w:rsid w:val="00EE7316"/>
    <w:rsid w:val="00EF0F33"/>
    <w:rsid w:val="00EF2BB2"/>
    <w:rsid w:val="00F069AD"/>
    <w:rsid w:val="00F06ABC"/>
    <w:rsid w:val="00F07307"/>
    <w:rsid w:val="00F21049"/>
    <w:rsid w:val="00F21E40"/>
    <w:rsid w:val="00F24BE8"/>
    <w:rsid w:val="00F35747"/>
    <w:rsid w:val="00F415A2"/>
    <w:rsid w:val="00F4445C"/>
    <w:rsid w:val="00F51420"/>
    <w:rsid w:val="00F51F90"/>
    <w:rsid w:val="00F542E9"/>
    <w:rsid w:val="00F57D73"/>
    <w:rsid w:val="00F61C94"/>
    <w:rsid w:val="00F651C6"/>
    <w:rsid w:val="00F65F9D"/>
    <w:rsid w:val="00F701E2"/>
    <w:rsid w:val="00F714B1"/>
    <w:rsid w:val="00F730E8"/>
    <w:rsid w:val="00F76DC1"/>
    <w:rsid w:val="00F91B99"/>
    <w:rsid w:val="00F93183"/>
    <w:rsid w:val="00F93A07"/>
    <w:rsid w:val="00F959C4"/>
    <w:rsid w:val="00F95F2B"/>
    <w:rsid w:val="00F96BBB"/>
    <w:rsid w:val="00FA2795"/>
    <w:rsid w:val="00FA2B02"/>
    <w:rsid w:val="00FA3105"/>
    <w:rsid w:val="00FA334E"/>
    <w:rsid w:val="00FA35A8"/>
    <w:rsid w:val="00FA3B6D"/>
    <w:rsid w:val="00FB049E"/>
    <w:rsid w:val="00FB1D4F"/>
    <w:rsid w:val="00FB2003"/>
    <w:rsid w:val="00FC0CFF"/>
    <w:rsid w:val="00FC0E2F"/>
    <w:rsid w:val="00FC206B"/>
    <w:rsid w:val="00FC3CC1"/>
    <w:rsid w:val="00FC5555"/>
    <w:rsid w:val="00FE1C0C"/>
    <w:rsid w:val="00FE217F"/>
    <w:rsid w:val="00FE2D2F"/>
    <w:rsid w:val="00FE6D53"/>
    <w:rsid w:val="00FF0053"/>
    <w:rsid w:val="00FF165B"/>
    <w:rsid w:val="00FF6F30"/>
    <w:rsid w:val="05A806DC"/>
    <w:rsid w:val="067F02EE"/>
    <w:rsid w:val="06BF7651"/>
    <w:rsid w:val="06D74A72"/>
    <w:rsid w:val="06F31148"/>
    <w:rsid w:val="07935E18"/>
    <w:rsid w:val="07E46C7E"/>
    <w:rsid w:val="0851376C"/>
    <w:rsid w:val="08B83DE0"/>
    <w:rsid w:val="0AC12061"/>
    <w:rsid w:val="0C7E64B8"/>
    <w:rsid w:val="0CE37C1B"/>
    <w:rsid w:val="0D423434"/>
    <w:rsid w:val="0D7B42A6"/>
    <w:rsid w:val="0E77591A"/>
    <w:rsid w:val="11E40B71"/>
    <w:rsid w:val="120E530E"/>
    <w:rsid w:val="13787AE1"/>
    <w:rsid w:val="167E122A"/>
    <w:rsid w:val="16B871B6"/>
    <w:rsid w:val="16D4448D"/>
    <w:rsid w:val="16E373DC"/>
    <w:rsid w:val="19A70BD7"/>
    <w:rsid w:val="1AB43AD6"/>
    <w:rsid w:val="1B130DF0"/>
    <w:rsid w:val="1C73679C"/>
    <w:rsid w:val="1E29043F"/>
    <w:rsid w:val="1EA24F57"/>
    <w:rsid w:val="2044023D"/>
    <w:rsid w:val="20877F58"/>
    <w:rsid w:val="21A155FD"/>
    <w:rsid w:val="22067860"/>
    <w:rsid w:val="241D683A"/>
    <w:rsid w:val="247176A7"/>
    <w:rsid w:val="26323D81"/>
    <w:rsid w:val="296C2C44"/>
    <w:rsid w:val="299A593A"/>
    <w:rsid w:val="2A346B62"/>
    <w:rsid w:val="2AFB8B04"/>
    <w:rsid w:val="2B4F6764"/>
    <w:rsid w:val="2C0E6812"/>
    <w:rsid w:val="2D5627F5"/>
    <w:rsid w:val="2EAF0FB9"/>
    <w:rsid w:val="2F3E7A6B"/>
    <w:rsid w:val="2FF61971"/>
    <w:rsid w:val="32613D9B"/>
    <w:rsid w:val="332B431F"/>
    <w:rsid w:val="33400366"/>
    <w:rsid w:val="33EA5EC3"/>
    <w:rsid w:val="348B0334"/>
    <w:rsid w:val="34AA3C4B"/>
    <w:rsid w:val="34B10636"/>
    <w:rsid w:val="34D11437"/>
    <w:rsid w:val="34E466C0"/>
    <w:rsid w:val="37FF9163"/>
    <w:rsid w:val="38FD5B83"/>
    <w:rsid w:val="3ACE5442"/>
    <w:rsid w:val="3ADD6844"/>
    <w:rsid w:val="3ADF4044"/>
    <w:rsid w:val="3BC07D92"/>
    <w:rsid w:val="3D616DCC"/>
    <w:rsid w:val="3E396C24"/>
    <w:rsid w:val="3E412EAB"/>
    <w:rsid w:val="3F152458"/>
    <w:rsid w:val="3FA235DC"/>
    <w:rsid w:val="400965A3"/>
    <w:rsid w:val="40610214"/>
    <w:rsid w:val="40851129"/>
    <w:rsid w:val="40AB5DC1"/>
    <w:rsid w:val="416E39A7"/>
    <w:rsid w:val="42042280"/>
    <w:rsid w:val="43544A8C"/>
    <w:rsid w:val="453049F3"/>
    <w:rsid w:val="45524817"/>
    <w:rsid w:val="493E1FEE"/>
    <w:rsid w:val="4C646B2B"/>
    <w:rsid w:val="4C73371A"/>
    <w:rsid w:val="4D774A87"/>
    <w:rsid w:val="50796447"/>
    <w:rsid w:val="50950237"/>
    <w:rsid w:val="52C7652D"/>
    <w:rsid w:val="535B7777"/>
    <w:rsid w:val="54664607"/>
    <w:rsid w:val="546DED71"/>
    <w:rsid w:val="56C00BAE"/>
    <w:rsid w:val="575F9904"/>
    <w:rsid w:val="57E8758D"/>
    <w:rsid w:val="580C7188"/>
    <w:rsid w:val="5B56217E"/>
    <w:rsid w:val="5BB417C3"/>
    <w:rsid w:val="5C2802CE"/>
    <w:rsid w:val="5C5E2128"/>
    <w:rsid w:val="60432C6A"/>
    <w:rsid w:val="61FF06CB"/>
    <w:rsid w:val="623244C0"/>
    <w:rsid w:val="623B2254"/>
    <w:rsid w:val="623E4AD0"/>
    <w:rsid w:val="66AE5763"/>
    <w:rsid w:val="67083DB5"/>
    <w:rsid w:val="672D47F6"/>
    <w:rsid w:val="676D5891"/>
    <w:rsid w:val="678C2BDE"/>
    <w:rsid w:val="68196D07"/>
    <w:rsid w:val="69102B27"/>
    <w:rsid w:val="694470CF"/>
    <w:rsid w:val="695E38F7"/>
    <w:rsid w:val="698B0CB7"/>
    <w:rsid w:val="69EDEC2D"/>
    <w:rsid w:val="6A5247FE"/>
    <w:rsid w:val="6AC12C7F"/>
    <w:rsid w:val="6B1C15B3"/>
    <w:rsid w:val="6C1F48FD"/>
    <w:rsid w:val="6CA257B3"/>
    <w:rsid w:val="6E3D28EF"/>
    <w:rsid w:val="6E817321"/>
    <w:rsid w:val="6FD67088"/>
    <w:rsid w:val="6FF21757"/>
    <w:rsid w:val="711A1289"/>
    <w:rsid w:val="71713E12"/>
    <w:rsid w:val="72853303"/>
    <w:rsid w:val="72AC6534"/>
    <w:rsid w:val="749610F2"/>
    <w:rsid w:val="75952A7F"/>
    <w:rsid w:val="75FE3767"/>
    <w:rsid w:val="77174259"/>
    <w:rsid w:val="772A22BC"/>
    <w:rsid w:val="77B41500"/>
    <w:rsid w:val="79910794"/>
    <w:rsid w:val="7B9E0DCF"/>
    <w:rsid w:val="7C235D0F"/>
    <w:rsid w:val="7C4D15EC"/>
    <w:rsid w:val="7D09344F"/>
    <w:rsid w:val="7E147B59"/>
    <w:rsid w:val="7E7F20BF"/>
    <w:rsid w:val="7EFB36FD"/>
    <w:rsid w:val="7F8FB6E3"/>
    <w:rsid w:val="7FDE7C18"/>
    <w:rsid w:val="7FDF5DEA"/>
    <w:rsid w:val="9DFB08B4"/>
    <w:rsid w:val="AB78A4AC"/>
    <w:rsid w:val="B6FEEA17"/>
    <w:rsid w:val="BDDF66DF"/>
    <w:rsid w:val="BFFFDF2F"/>
    <w:rsid w:val="C97C1126"/>
    <w:rsid w:val="D4CB6E76"/>
    <w:rsid w:val="DBFF2553"/>
    <w:rsid w:val="DF5D14D1"/>
    <w:rsid w:val="ECEE12B3"/>
    <w:rsid w:val="F9B73A74"/>
    <w:rsid w:val="F9EC8D06"/>
    <w:rsid w:val="FE1F6BDA"/>
    <w:rsid w:val="FFFDC4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6"/>
    <w:qFormat/>
    <w:uiPriority w:val="0"/>
    <w:pPr>
      <w:jc w:val="left"/>
    </w:pPr>
    <w:rPr>
      <w:rFonts w:eastAsia="仿宋_GB2312"/>
      <w:sz w:val="30"/>
      <w:szCs w:val="20"/>
    </w:rPr>
  </w:style>
  <w:style w:type="paragraph" w:styleId="3">
    <w:name w:val="Body Text"/>
    <w:basedOn w:val="1"/>
    <w:qFormat/>
    <w:uiPriority w:val="0"/>
    <w:pPr>
      <w:spacing w:after="120"/>
    </w:pPr>
    <w:rPr>
      <w:rFonts w:ascii="宋体"/>
      <w:sz w:val="28"/>
      <w:szCs w:val="20"/>
    </w:rPr>
  </w:style>
  <w:style w:type="paragraph" w:styleId="4">
    <w:name w:val="Body Text Indent"/>
    <w:basedOn w:val="1"/>
    <w:qFormat/>
    <w:uiPriority w:val="0"/>
    <w:pPr>
      <w:ind w:firstLine="430" w:firstLineChars="205"/>
    </w:pPr>
  </w:style>
  <w:style w:type="paragraph" w:styleId="5">
    <w:name w:val="Balloon Text"/>
    <w:basedOn w:val="1"/>
    <w:link w:val="25"/>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9">
    <w:name w:val="annotation subject"/>
    <w:basedOn w:val="2"/>
    <w:next w:val="2"/>
    <w:link w:val="27"/>
    <w:qFormat/>
    <w:uiPriority w:val="0"/>
    <w:rPr>
      <w:rFonts w:eastAsia="宋体"/>
      <w:b/>
      <w:bCs/>
      <w:sz w:val="21"/>
      <w:szCs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bulletintext"/>
    <w:basedOn w:val="11"/>
    <w:qFormat/>
    <w:uiPriority w:val="0"/>
  </w:style>
  <w:style w:type="paragraph" w:customStyle="1" w:styleId="15">
    <w:name w:val="Char Char Char Char Char Char Char Char Char Char Char Char Char"/>
    <w:basedOn w:val="1"/>
    <w:qFormat/>
    <w:uiPriority w:val="0"/>
    <w:rPr>
      <w:rFonts w:ascii="仿宋_GB2312" w:eastAsia="仿宋_GB2312"/>
      <w:b/>
      <w:sz w:val="32"/>
      <w:szCs w:val="32"/>
    </w:rPr>
  </w:style>
  <w:style w:type="paragraph" w:customStyle="1" w:styleId="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Char Char Char Char"/>
    <w:basedOn w:val="1"/>
    <w:qFormat/>
    <w:uiPriority w:val="0"/>
    <w:rPr>
      <w:rFonts w:ascii="仿宋_GB2312" w:eastAsia="仿宋_GB2312"/>
      <w:b/>
      <w:sz w:val="32"/>
      <w:szCs w:val="32"/>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_Style 7"/>
    <w:basedOn w:val="1"/>
    <w:qFormat/>
    <w:uiPriority w:val="0"/>
    <w:rPr>
      <w:rFonts w:ascii="仿宋_GB2312" w:eastAsia="仿宋_GB2312"/>
      <w:b/>
      <w:sz w:val="32"/>
      <w:szCs w:val="32"/>
    </w:rPr>
  </w:style>
  <w:style w:type="paragraph" w:customStyle="1" w:styleId="20">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
    <w:name w:val="默认段落字体 Para Char"/>
    <w:basedOn w:val="1"/>
    <w:qFormat/>
    <w:uiPriority w:val="0"/>
    <w:pPr>
      <w:tabs>
        <w:tab w:val="left" w:pos="1080"/>
      </w:tabs>
      <w:ind w:left="360" w:hanging="360"/>
    </w:pPr>
  </w:style>
  <w:style w:type="paragraph" w:customStyle="1" w:styleId="22">
    <w:name w:val="Char Char4 Char"/>
    <w:basedOn w:val="1"/>
    <w:qFormat/>
    <w:uiPriority w:val="0"/>
    <w:rPr>
      <w:szCs w:val="20"/>
    </w:rPr>
  </w:style>
  <w:style w:type="paragraph" w:customStyle="1" w:styleId="23">
    <w:name w:val="_Style 10"/>
    <w:basedOn w:val="1"/>
    <w:qFormat/>
    <w:uiPriority w:val="0"/>
    <w:rPr>
      <w:rFonts w:ascii="仿宋_GB2312" w:eastAsia="仿宋_GB2312"/>
      <w:b/>
      <w:sz w:val="32"/>
      <w:szCs w:val="32"/>
    </w:rPr>
  </w:style>
  <w:style w:type="paragraph" w:customStyle="1" w:styleId="24">
    <w:name w:val="Char Char"/>
    <w:basedOn w:val="1"/>
    <w:qFormat/>
    <w:uiPriority w:val="0"/>
    <w:rPr>
      <w:rFonts w:ascii="仿宋_GB2312" w:eastAsia="仿宋_GB2312"/>
      <w:b/>
      <w:sz w:val="32"/>
      <w:szCs w:val="32"/>
    </w:rPr>
  </w:style>
  <w:style w:type="character" w:customStyle="1" w:styleId="25">
    <w:name w:val="批注框文本 Char"/>
    <w:link w:val="5"/>
    <w:qFormat/>
    <w:uiPriority w:val="0"/>
    <w:rPr>
      <w:rFonts w:eastAsia="宋体"/>
      <w:kern w:val="2"/>
      <w:sz w:val="18"/>
      <w:szCs w:val="18"/>
      <w:lang w:val="en-US" w:eastAsia="zh-CN" w:bidi="ar-SA"/>
    </w:rPr>
  </w:style>
  <w:style w:type="character" w:customStyle="1" w:styleId="26">
    <w:name w:val="批注文字 Char1"/>
    <w:basedOn w:val="11"/>
    <w:link w:val="2"/>
    <w:semiHidden/>
    <w:qFormat/>
    <w:uiPriority w:val="0"/>
    <w:rPr>
      <w:rFonts w:eastAsia="仿宋_GB2312"/>
      <w:kern w:val="2"/>
      <w:sz w:val="30"/>
    </w:rPr>
  </w:style>
  <w:style w:type="character" w:customStyle="1" w:styleId="27">
    <w:name w:val="批注主题 Char"/>
    <w:basedOn w:val="26"/>
    <w:link w:val="9"/>
    <w:qFormat/>
    <w:uiPriority w:val="0"/>
    <w:rPr>
      <w:rFonts w:eastAsia="仿宋_GB2312"/>
      <w:kern w:val="2"/>
      <w:sz w:val="30"/>
    </w:rPr>
  </w:style>
  <w:style w:type="paragraph" w:styleId="28">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29">
    <w:name w:val="样式3"/>
    <w:basedOn w:val="1"/>
    <w:qFormat/>
    <w:uiPriority w:val="0"/>
    <w:pPr>
      <w:spacing w:line="360" w:lineRule="auto"/>
      <w:ind w:left="252" w:leftChars="120" w:firstLine="206" w:firstLineChars="98"/>
    </w:pPr>
    <w:rPr>
      <w:rFonts w:ascii="宋体" w:hAnsi="宋体"/>
      <w:szCs w:val="44"/>
    </w:rPr>
  </w:style>
  <w:style w:type="character" w:customStyle="1" w:styleId="30">
    <w:name w:val="批注文字 Char"/>
    <w:basedOn w:val="11"/>
    <w:qFormat/>
    <w:uiPriority w:val="0"/>
    <w:rPr>
      <w:rFonts w:ascii="仿宋_GB2312" w:eastAsia="仿宋_GB2312"/>
      <w:b/>
      <w:kern w:val="2"/>
      <w:sz w:val="21"/>
      <w:szCs w:val="24"/>
    </w:rPr>
  </w:style>
  <w:style w:type="paragraph" w:customStyle="1" w:styleId="31">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33">
    <w:name w:val="正文_3"/>
    <w:basedOn w:val="34"/>
    <w:qFormat/>
    <w:uiPriority w:val="0"/>
    <w:rPr>
      <w:rFonts w:ascii="Calibri" w:hAnsi="Calibri" w:cs="Calibri"/>
      <w:szCs w:val="21"/>
    </w:rPr>
  </w:style>
  <w:style w:type="paragraph" w:customStyle="1" w:styleId="34">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 China</Company>
  <Pages>5</Pages>
  <Words>3620</Words>
  <Characters>3780</Characters>
  <Lines>39</Lines>
  <Paragraphs>11</Paragraphs>
  <TotalTime>101</TotalTime>
  <ScaleCrop>false</ScaleCrop>
  <LinksUpToDate>false</LinksUpToDate>
  <CharactersWithSpaces>3781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2016-05-28T20:05:00Z</dcterms:created>
  <dc:creator>GS</dc:creator>
  <cp:lastModifiedBy>钟蔡泽</cp:lastModifiedBy>
  <cp:lastPrinted>2019-05-17T19:40:00Z</cp:lastPrinted>
  <dcterms:modified xsi:type="dcterms:W3CDTF">2025-02-21T08:10:43Z</dcterms:modified>
  <dc:title>工程量清单编制说明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81935EA62B4B4837A06F2B923E45AA09</vt:lpwstr>
  </property>
  <property fmtid="{D5CDD505-2E9C-101B-9397-08002B2CF9AE}" pid="4" name="KSOTemplateDocerSaveRecord">
    <vt:lpwstr>eyJoZGlkIjoiN2U5NzhmMTAyNDNlMGVkNmQxOTFkMzBkNTEzZDQ1NGEiLCJ1c2VySWQiOiIxNjI0Mzk3MzA3In0=</vt:lpwstr>
  </property>
</Properties>
</file>